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中国武汉以外地区新型冠状病毒肺炎患者临床特征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分析：一项病例对照研究</w:t>
      </w:r>
    </w:p>
    <w:bookmarkEnd w:id="0"/>
    <w:p>
      <w:pPr>
        <w:spacing w:line="360" w:lineRule="auto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张华1 ，杜锋 1 ，曹小俊 1 ，冯夏龙 1 ，张和平 1 ，吴正霞 1 ，王宝锋 1 ，张红娟 1 ，刘睿1 ，杨建华 1 ，宁博 1 ，陈凯 1 ，黄振鹏 2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作者单位：1 宝鸡市中心医院，2 广州医科大学</w:t>
      </w:r>
    </w:p>
    <w:p>
      <w:pPr>
        <w:spacing w:line="360" w:lineRule="auto"/>
        <w:rPr>
          <w:kern w:val="0"/>
          <w:sz w:val="24"/>
        </w:rPr>
      </w:pPr>
    </w:p>
    <w:p>
      <w:pPr>
        <w:spacing w:line="360" w:lineRule="auto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摘 要</w:t>
      </w:r>
    </w:p>
    <w:p>
      <w:pPr>
        <w:spacing w:line="360" w:lineRule="auto"/>
        <w:ind w:firstLine="472" w:firstLineChars="196"/>
        <w:rPr>
          <w:bCs/>
          <w:sz w:val="24"/>
        </w:rPr>
      </w:pPr>
      <w:r>
        <w:rPr>
          <w:rFonts w:hint="eastAsia"/>
          <w:b/>
          <w:sz w:val="24"/>
        </w:rPr>
        <w:t>背景</w:t>
      </w:r>
      <w:r>
        <w:rPr>
          <w:rFonts w:hint="eastAsia"/>
          <w:bCs/>
          <w:sz w:val="24"/>
        </w:rPr>
        <w:t xml:space="preserve"> 2020年1月，一场累及全球的新型冠状病毒肺炎（</w:t>
      </w:r>
      <w:r>
        <w:rPr>
          <w:rStyle w:val="17"/>
          <w:bCs/>
          <w:color w:val="auto"/>
          <w:sz w:val="24"/>
        </w:rPr>
        <w:t>COVID-19</w:t>
      </w:r>
      <w:r>
        <w:rPr>
          <w:rFonts w:hint="eastAsia"/>
          <w:bCs/>
          <w:sz w:val="24"/>
        </w:rPr>
        <w:t>）疫情在中国武汉爆发，并迅速向武汉以外地区蔓延。本研究旨在观察疫情发生后中国武汉以外地区</w:t>
      </w:r>
      <w:r>
        <w:rPr>
          <w:rStyle w:val="17"/>
          <w:bCs/>
          <w:color w:val="auto"/>
          <w:sz w:val="24"/>
        </w:rPr>
        <w:t>COVID-19</w:t>
      </w:r>
      <w:r>
        <w:rPr>
          <w:rStyle w:val="17"/>
          <w:rFonts w:hint="eastAsia"/>
          <w:bCs/>
          <w:color w:val="auto"/>
          <w:sz w:val="24"/>
        </w:rPr>
        <w:t>患者的临床特征。</w:t>
      </w:r>
      <w:r>
        <w:rPr>
          <w:rFonts w:ascii="Arial" w:hAnsi="Arial" w:cs="Arial"/>
          <w:bCs/>
          <w:sz w:val="20"/>
          <w:szCs w:val="20"/>
          <w:shd w:val="clear" w:color="auto" w:fill="F7F8FA"/>
        </w:rPr>
        <w:t xml:space="preserve">  </w:t>
      </w:r>
    </w:p>
    <w:p>
      <w:pPr>
        <w:spacing w:line="360" w:lineRule="auto"/>
        <w:ind w:firstLine="472" w:firstLineChars="196"/>
        <w:rPr>
          <w:bCs/>
          <w:sz w:val="24"/>
        </w:rPr>
      </w:pPr>
      <w:r>
        <w:rPr>
          <w:rFonts w:hint="eastAsia"/>
          <w:b/>
          <w:sz w:val="24"/>
        </w:rPr>
        <w:t xml:space="preserve">方法 </w:t>
      </w:r>
      <w:r>
        <w:rPr>
          <w:rFonts w:hint="eastAsia"/>
          <w:bCs/>
          <w:sz w:val="24"/>
        </w:rPr>
        <w:t>2020年1月27日至2月8日，在中国西北地区陕西省宝鸡市，共有13例患者被确诊为</w:t>
      </w:r>
      <w:r>
        <w:rPr>
          <w:rStyle w:val="17"/>
          <w:bCs/>
          <w:color w:val="auto"/>
          <w:sz w:val="24"/>
        </w:rPr>
        <w:t>COVID-19</w:t>
      </w:r>
      <w:r>
        <w:rPr>
          <w:rStyle w:val="17"/>
          <w:rFonts w:hint="eastAsia"/>
          <w:bCs/>
          <w:color w:val="auto"/>
          <w:sz w:val="24"/>
        </w:rPr>
        <w:t>。我们收集了所有患者的流行病学资料、临床信息和影像数据。13例患者根据病情严重程度分为普通型和重型两组。</w:t>
      </w:r>
    </w:p>
    <w:p>
      <w:pPr>
        <w:spacing w:line="360" w:lineRule="auto"/>
        <w:ind w:firstLine="482" w:firstLineChars="200"/>
        <w:rPr>
          <w:rStyle w:val="17"/>
          <w:rFonts w:hint="eastAsia"/>
          <w:bCs/>
          <w:color w:val="auto"/>
          <w:sz w:val="24"/>
        </w:rPr>
      </w:pPr>
      <w:r>
        <w:rPr>
          <w:rFonts w:hint="eastAsia"/>
          <w:b/>
          <w:sz w:val="24"/>
        </w:rPr>
        <w:t xml:space="preserve">结果 </w:t>
      </w:r>
      <w:r>
        <w:rPr>
          <w:rFonts w:hint="eastAsia"/>
          <w:bCs/>
          <w:sz w:val="24"/>
        </w:rPr>
        <w:t>9例（9/13）</w:t>
      </w:r>
      <w:r>
        <w:rPr>
          <w:rStyle w:val="17"/>
          <w:bCs/>
          <w:color w:val="auto"/>
          <w:sz w:val="24"/>
        </w:rPr>
        <w:t>COVID-19</w:t>
      </w:r>
      <w:r>
        <w:rPr>
          <w:rStyle w:val="17"/>
          <w:rFonts w:hint="eastAsia"/>
          <w:bCs/>
          <w:color w:val="auto"/>
          <w:sz w:val="24"/>
        </w:rPr>
        <w:t>患者为普通型，同时也是人传人第二代病例。</w:t>
      </w:r>
      <w:r>
        <w:rPr>
          <w:rStyle w:val="17"/>
          <w:bCs/>
          <w:color w:val="auto"/>
          <w:sz w:val="24"/>
        </w:rPr>
        <w:t>多数患者(11/13)有武汉旅居</w:t>
      </w:r>
      <w:r>
        <w:rPr>
          <w:rStyle w:val="17"/>
          <w:rFonts w:hint="eastAsia"/>
          <w:bCs/>
          <w:color w:val="auto"/>
          <w:sz w:val="24"/>
        </w:rPr>
        <w:t>史</w:t>
      </w:r>
      <w:r>
        <w:rPr>
          <w:rStyle w:val="17"/>
          <w:bCs/>
          <w:color w:val="auto"/>
          <w:sz w:val="24"/>
        </w:rPr>
        <w:t>。两组患者</w:t>
      </w:r>
      <w:r>
        <w:rPr>
          <w:rStyle w:val="17"/>
          <w:rFonts w:hint="eastAsia"/>
          <w:bCs/>
          <w:color w:val="auto"/>
          <w:sz w:val="24"/>
        </w:rPr>
        <w:t>在</w:t>
      </w:r>
      <w:r>
        <w:rPr>
          <w:rStyle w:val="17"/>
          <w:bCs/>
          <w:color w:val="auto"/>
          <w:sz w:val="24"/>
        </w:rPr>
        <w:t>性别、年龄方面差异无统计学意义(</w:t>
      </w:r>
      <w:r>
        <w:rPr>
          <w:rStyle w:val="17"/>
          <w:rFonts w:hint="eastAsia"/>
          <w:bCs/>
          <w:i/>
          <w:iCs/>
          <w:color w:val="auto"/>
          <w:sz w:val="24"/>
        </w:rPr>
        <w:t>P</w:t>
      </w:r>
      <w:r>
        <w:rPr>
          <w:sz w:val="24"/>
        </w:rPr>
        <w:t>&gt;</w:t>
      </w:r>
      <w:r>
        <w:rPr>
          <w:rStyle w:val="17"/>
          <w:bCs/>
          <w:color w:val="auto"/>
          <w:sz w:val="24"/>
        </w:rPr>
        <w:t>0.05)。 中度发热(11/13)、咳嗽(13/13)、乏力(8/13)为</w:t>
      </w:r>
      <w:r>
        <w:rPr>
          <w:rStyle w:val="17"/>
          <w:rFonts w:hint="eastAsia"/>
          <w:bCs/>
          <w:color w:val="auto"/>
          <w:sz w:val="24"/>
        </w:rPr>
        <w:t>其</w:t>
      </w:r>
      <w:r>
        <w:rPr>
          <w:rStyle w:val="17"/>
          <w:bCs/>
          <w:color w:val="auto"/>
          <w:sz w:val="24"/>
        </w:rPr>
        <w:t>常见症状</w:t>
      </w:r>
      <w:r>
        <w:rPr>
          <w:rStyle w:val="17"/>
          <w:rFonts w:hint="eastAsia"/>
          <w:bCs/>
          <w:color w:val="auto"/>
          <w:sz w:val="24"/>
        </w:rPr>
        <w:t>，但两组患者在症状方面</w:t>
      </w:r>
      <w:r>
        <w:rPr>
          <w:rStyle w:val="17"/>
          <w:bCs/>
          <w:color w:val="auto"/>
          <w:sz w:val="24"/>
        </w:rPr>
        <w:t>差异无统计学意义(</w:t>
      </w:r>
      <w:r>
        <w:rPr>
          <w:rStyle w:val="17"/>
          <w:bCs/>
          <w:i/>
          <w:iCs/>
          <w:color w:val="auto"/>
          <w:sz w:val="24"/>
        </w:rPr>
        <w:t>P</w:t>
      </w:r>
      <w:r>
        <w:rPr>
          <w:sz w:val="24"/>
        </w:rPr>
        <w:t>&gt;</w:t>
      </w:r>
      <w:r>
        <w:rPr>
          <w:rStyle w:val="17"/>
          <w:bCs/>
          <w:color w:val="auto"/>
          <w:sz w:val="24"/>
        </w:rPr>
        <w:t>0.05)。 与普通型相比较，重</w:t>
      </w:r>
      <w:r>
        <w:rPr>
          <w:rStyle w:val="17"/>
          <w:rFonts w:hint="eastAsia"/>
          <w:bCs/>
          <w:color w:val="auto"/>
          <w:sz w:val="24"/>
        </w:rPr>
        <w:t>型患者的血</w:t>
      </w:r>
      <w:r>
        <w:rPr>
          <w:rStyle w:val="17"/>
          <w:bCs/>
          <w:color w:val="auto"/>
          <w:sz w:val="24"/>
        </w:rPr>
        <w:t>氧饱和度、氧合指数</w:t>
      </w:r>
      <w:r>
        <w:rPr>
          <w:rStyle w:val="17"/>
          <w:rFonts w:hint="eastAsia"/>
          <w:bCs/>
          <w:color w:val="auto"/>
          <w:sz w:val="24"/>
        </w:rPr>
        <w:t>降低</w:t>
      </w:r>
      <w:r>
        <w:rPr>
          <w:rStyle w:val="17"/>
          <w:bCs/>
          <w:color w:val="auto"/>
          <w:sz w:val="24"/>
        </w:rPr>
        <w:t>，</w:t>
      </w:r>
      <w:r>
        <w:rPr>
          <w:rStyle w:val="17"/>
          <w:rFonts w:hint="eastAsia"/>
          <w:bCs/>
          <w:color w:val="auto"/>
          <w:sz w:val="24"/>
        </w:rPr>
        <w:t>C</w:t>
      </w:r>
      <w:r>
        <w:rPr>
          <w:rStyle w:val="17"/>
          <w:bCs/>
          <w:color w:val="auto"/>
          <w:sz w:val="24"/>
        </w:rPr>
        <w:t>反应蛋白(CRP)、血清淀粉样蛋白A (SAA)水平升高，其差异具有统计学意义(均</w:t>
      </w:r>
      <w:r>
        <w:rPr>
          <w:rStyle w:val="17"/>
          <w:rFonts w:hint="eastAsia"/>
          <w:bCs/>
          <w:i/>
          <w:iCs/>
          <w:color w:val="auto"/>
          <w:sz w:val="24"/>
        </w:rPr>
        <w:t>P</w:t>
      </w:r>
      <w:r>
        <w:rPr>
          <w:rStyle w:val="17"/>
          <w:bCs/>
          <w:color w:val="auto"/>
          <w:sz w:val="24"/>
        </w:rPr>
        <w:t>&lt;0.05)。 大部分(12/13)COVID-19患者胸部CT均有</w:t>
      </w:r>
      <w:r>
        <w:rPr>
          <w:rStyle w:val="17"/>
          <w:rFonts w:hint="eastAsia"/>
          <w:bCs/>
          <w:color w:val="auto"/>
          <w:sz w:val="24"/>
        </w:rPr>
        <w:t>改变，随着时间变化影像学也在发生变化，</w:t>
      </w:r>
      <w:r>
        <w:rPr>
          <w:rStyle w:val="17"/>
          <w:bCs/>
          <w:color w:val="auto"/>
          <w:sz w:val="24"/>
        </w:rPr>
        <w:t>差异有统计学意义(均</w:t>
      </w:r>
      <w:r>
        <w:rPr>
          <w:rStyle w:val="17"/>
          <w:rFonts w:hint="eastAsia"/>
          <w:bCs/>
          <w:i/>
          <w:iCs/>
          <w:color w:val="auto"/>
          <w:sz w:val="24"/>
        </w:rPr>
        <w:t>P</w:t>
      </w:r>
      <w:r>
        <w:rPr>
          <w:rStyle w:val="17"/>
          <w:bCs/>
          <w:color w:val="auto"/>
          <w:sz w:val="24"/>
        </w:rPr>
        <w:t>&lt;0.05)。  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结论 </w:t>
      </w:r>
      <w:r>
        <w:rPr>
          <w:rFonts w:hint="eastAsia"/>
          <w:bCs/>
          <w:sz w:val="24"/>
        </w:rPr>
        <w:t>大多数</w:t>
      </w:r>
      <w:r>
        <w:rPr>
          <w:rStyle w:val="17"/>
          <w:bCs/>
          <w:color w:val="auto"/>
          <w:sz w:val="24"/>
        </w:rPr>
        <w:t>COVID-19</w:t>
      </w:r>
      <w:r>
        <w:rPr>
          <w:rStyle w:val="17"/>
          <w:rFonts w:hint="eastAsia"/>
          <w:bCs/>
          <w:color w:val="auto"/>
          <w:sz w:val="24"/>
        </w:rPr>
        <w:t>患者都是来自</w:t>
      </w:r>
      <w:r>
        <w:rPr>
          <w:rStyle w:val="17"/>
          <w:rFonts w:hint="eastAsia"/>
          <w:color w:val="auto"/>
          <w:sz w:val="24"/>
        </w:rPr>
        <w:t>武汉的人传人</w:t>
      </w:r>
      <w:r>
        <w:rPr>
          <w:rStyle w:val="17"/>
          <w:rFonts w:hint="eastAsia"/>
          <w:bCs/>
          <w:color w:val="auto"/>
          <w:sz w:val="24"/>
        </w:rPr>
        <w:t>第二代</w:t>
      </w:r>
      <w:r>
        <w:rPr>
          <w:rStyle w:val="17"/>
          <w:rFonts w:hint="eastAsia"/>
          <w:color w:val="auto"/>
          <w:sz w:val="24"/>
        </w:rPr>
        <w:t>病例，同时也是普通型病例。</w:t>
      </w:r>
      <w:r>
        <w:rPr>
          <w:rStyle w:val="17"/>
          <w:color w:val="auto"/>
          <w:sz w:val="24"/>
        </w:rPr>
        <w:t>COVID-19</w:t>
      </w:r>
      <w:r>
        <w:rPr>
          <w:rStyle w:val="17"/>
          <w:rFonts w:hint="eastAsia"/>
          <w:color w:val="auto"/>
          <w:sz w:val="24"/>
        </w:rPr>
        <w:t>临床特征呈现多样化。血氧饱和度、氧合指数、C</w:t>
      </w:r>
      <w:r>
        <w:rPr>
          <w:rStyle w:val="17"/>
          <w:color w:val="auto"/>
          <w:sz w:val="24"/>
        </w:rPr>
        <w:t>RP</w:t>
      </w:r>
      <w:r>
        <w:rPr>
          <w:rStyle w:val="17"/>
          <w:rFonts w:hint="eastAsia"/>
          <w:color w:val="auto"/>
          <w:sz w:val="24"/>
        </w:rPr>
        <w:t>、S</w:t>
      </w:r>
      <w:r>
        <w:rPr>
          <w:rStyle w:val="17"/>
          <w:color w:val="auto"/>
          <w:sz w:val="24"/>
        </w:rPr>
        <w:t>AA</w:t>
      </w:r>
      <w:r>
        <w:rPr>
          <w:rStyle w:val="17"/>
          <w:rFonts w:hint="eastAsia"/>
          <w:color w:val="auto"/>
          <w:sz w:val="24"/>
        </w:rPr>
        <w:t>和C</w:t>
      </w:r>
      <w:r>
        <w:rPr>
          <w:rStyle w:val="17"/>
          <w:color w:val="auto"/>
          <w:sz w:val="24"/>
        </w:rPr>
        <w:t>T</w:t>
      </w:r>
      <w:r>
        <w:rPr>
          <w:rStyle w:val="17"/>
          <w:rFonts w:hint="eastAsia"/>
          <w:color w:val="auto"/>
          <w:sz w:val="24"/>
        </w:rPr>
        <w:t>特征是预测疾病严重程度的可靠指标。</w:t>
      </w:r>
    </w:p>
    <w:p>
      <w:pPr>
        <w:spacing w:line="360" w:lineRule="auto"/>
        <w:ind w:firstLine="480"/>
        <w:rPr>
          <w:rStyle w:val="17"/>
          <w:rFonts w:hint="eastAsia"/>
          <w:bCs/>
          <w:color w:val="auto"/>
          <w:sz w:val="24"/>
        </w:rPr>
      </w:pPr>
      <w:r>
        <w:rPr>
          <w:rFonts w:hint="eastAsia"/>
          <w:b/>
          <w:sz w:val="24"/>
        </w:rPr>
        <w:t>关键词</w:t>
      </w:r>
      <w:r>
        <w:rPr>
          <w:rFonts w:hint="eastAsia"/>
          <w:bCs/>
          <w:sz w:val="24"/>
        </w:rPr>
        <w:t xml:space="preserve"> 2019-n</w:t>
      </w:r>
      <w:r>
        <w:rPr>
          <w:bCs/>
          <w:sz w:val="24"/>
        </w:rPr>
        <w:t>C</w:t>
      </w:r>
      <w:r>
        <w:rPr>
          <w:rFonts w:hint="eastAsia"/>
          <w:bCs/>
          <w:sz w:val="24"/>
        </w:rPr>
        <w:t>ov，</w:t>
      </w:r>
      <w:r>
        <w:rPr>
          <w:rStyle w:val="17"/>
          <w:bCs/>
          <w:color w:val="auto"/>
          <w:sz w:val="24"/>
        </w:rPr>
        <w:t>COVID-19</w:t>
      </w:r>
      <w:r>
        <w:rPr>
          <w:rStyle w:val="17"/>
          <w:rFonts w:hint="eastAsia"/>
          <w:bCs/>
          <w:color w:val="auto"/>
          <w:sz w:val="24"/>
        </w:rPr>
        <w:t>，临床特征，武汉，中国</w:t>
      </w:r>
    </w:p>
    <w:p>
      <w:pPr>
        <w:spacing w:line="360" w:lineRule="auto"/>
        <w:ind w:firstLine="480"/>
        <w:rPr>
          <w:rStyle w:val="17"/>
          <w:rFonts w:hint="eastAsia"/>
          <w:bCs/>
          <w:color w:val="auto"/>
          <w:sz w:val="24"/>
        </w:rPr>
      </w:pPr>
    </w:p>
    <w:p>
      <w:pPr>
        <w:spacing w:line="360" w:lineRule="auto"/>
        <w:ind w:firstLine="480"/>
        <w:rPr>
          <w:rStyle w:val="17"/>
          <w:rFonts w:hint="eastAsia"/>
          <w:bCs/>
          <w:color w:val="auto"/>
          <w:sz w:val="24"/>
        </w:rPr>
      </w:pPr>
    </w:p>
    <w:p>
      <w:pPr>
        <w:spacing w:line="360" w:lineRule="auto"/>
        <w:ind w:firstLine="480"/>
        <w:jc w:val="center"/>
        <w:rPr>
          <w:b/>
          <w:sz w:val="24"/>
        </w:rPr>
      </w:pPr>
      <w:r>
        <w:rPr>
          <w:rFonts w:hint="eastAsia"/>
          <w:b/>
          <w:sz w:val="24"/>
        </w:rPr>
        <w:t>正 文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背景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2019年12月，中国武汉海鲜市场报告了少数与接触相关的肺炎病例，发现由新型冠状病毒-2019 (2019-n</w:t>
      </w:r>
      <w:r>
        <w:rPr>
          <w:sz w:val="24"/>
        </w:rPr>
        <w:t>C</w:t>
      </w:r>
      <w:r>
        <w:rPr>
          <w:rFonts w:hint="eastAsia"/>
          <w:sz w:val="24"/>
        </w:rPr>
        <w:t>ov)引起[1,2]。新型冠状病毒感染于2020年1月在武汉大规模出现，并向全球扩散，目前已知为人际接触传播[3]。2020年1月30日，世界卫生组织(W</w:t>
      </w:r>
      <w:r>
        <w:rPr>
          <w:sz w:val="24"/>
        </w:rPr>
        <w:t>HO</w:t>
      </w:r>
      <w:r>
        <w:rPr>
          <w:rFonts w:hint="eastAsia"/>
          <w:sz w:val="24"/>
        </w:rPr>
        <w:t>)宣布新冠肺炎疫情为国际关注的突发公共卫生事件。新型冠状病毒属于冠状病毒科β-冠状病毒属B系，其中也包括已知的严重急性呼吸综合征相关的冠状病毒(SARS-CoV)和与中东呼吸综合征相关的冠状病毒(MERS-CoV)[4]。2020年2月11日，国际病毒分类委员会将其定义为SARS-CoV-2。世卫组织当天还将感染新型冠状病毒的患者定义为“2019冠状病毒病”(COVID-19)。SARS-CoV-2是冠状病毒家族中第三大致命病毒，弱于MERS-CoV(37%的致死率)和SARS-CoV(10%的致死率)[5,6]。最近的一项研究报告称，发热、咳嗽和乏力是COVID-19[1]感染患者的常见症状。然而，COVID-19患者的临床特征尚不清楚。此外，COVID-19的临床特征是否与武汉和中国其他地区不同，目前尚无报道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因此，本研究旨在了解中国湖北省武汉市以外地区COVID-19感染病例的临床特征。基于以上，我们收集和分析了中国西北部陕西省宝鸡市covid -19病例的数据。</w:t>
      </w:r>
    </w:p>
    <w:p>
      <w:pPr>
        <w:spacing w:line="360" w:lineRule="auto"/>
        <w:ind w:firstLine="480" w:firstLineChars="200"/>
        <w:rPr>
          <w:bCs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2方法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.1</w:t>
      </w:r>
      <w:r>
        <w:rPr>
          <w:rFonts w:hint="eastAsia"/>
          <w:b/>
          <w:sz w:val="24"/>
        </w:rPr>
        <w:t>研究对象</w:t>
      </w:r>
    </w:p>
    <w:p>
      <w:pPr>
        <w:spacing w:line="360" w:lineRule="auto"/>
        <w:ind w:firstLine="600" w:firstLineChars="250"/>
        <w:rPr>
          <w:rFonts w:hint="eastAsia" w:ascii="TimesNewRomanPSMT" w:hAnsi="TimesNewRomanPSMT" w:eastAsiaTheme="minorEastAsia"/>
          <w:sz w:val="24"/>
          <w:szCs w:val="20"/>
        </w:rPr>
      </w:pPr>
      <w:r>
        <w:rPr>
          <w:rFonts w:hint="eastAsia" w:ascii="TimesNewRomanPSMT" w:hAnsi="TimesNewRomanPSMT" w:eastAsiaTheme="minorEastAsia"/>
          <w:sz w:val="24"/>
          <w:szCs w:val="20"/>
        </w:rPr>
        <w:t>宝鸡市疾病预防控制中心（C</w:t>
      </w:r>
      <w:r>
        <w:rPr>
          <w:rFonts w:ascii="TimesNewRomanPSMT" w:hAnsi="TimesNewRomanPSMT" w:eastAsiaTheme="minorEastAsia"/>
          <w:sz w:val="24"/>
          <w:szCs w:val="20"/>
        </w:rPr>
        <w:t>DC</w:t>
      </w:r>
      <w:r>
        <w:rPr>
          <w:rFonts w:hint="eastAsia" w:ascii="TimesNewRomanPSMT" w:hAnsi="TimesNewRomanPSMT" w:eastAsiaTheme="minorEastAsia"/>
          <w:sz w:val="24"/>
          <w:szCs w:val="20"/>
        </w:rPr>
        <w:t>）于2020年1月27日至2月8日对宝鸡市中心医院收治的13例患者进行实时聚合酶链反应(</w:t>
      </w:r>
      <w:r>
        <w:rPr>
          <w:rFonts w:ascii="TimesNewRomanPSMT" w:hAnsi="TimesNewRomanPSMT" w:eastAsiaTheme="minorEastAsia"/>
          <w:sz w:val="24"/>
          <w:szCs w:val="20"/>
        </w:rPr>
        <w:t>RT-</w:t>
      </w:r>
      <w:r>
        <w:rPr>
          <w:rFonts w:hint="eastAsia" w:ascii="TimesNewRomanPSMT" w:hAnsi="TimesNewRomanPSMT" w:eastAsiaTheme="minorEastAsia"/>
          <w:sz w:val="24"/>
          <w:szCs w:val="20"/>
        </w:rPr>
        <w:t>PCR)检测，确诊为新型冠状病毒感染。发病时间为2020年1月18日- 2月4日。</w:t>
      </w:r>
    </w:p>
    <w:p>
      <w:pPr>
        <w:spacing w:line="360" w:lineRule="auto"/>
        <w:rPr>
          <w:rFonts w:hint="eastAsia" w:ascii="TimesNewRomanPSMT" w:hAnsi="TimesNewRomanPSMT" w:eastAsiaTheme="minorEastAsia"/>
          <w:b/>
          <w:bCs/>
          <w:sz w:val="24"/>
          <w:szCs w:val="20"/>
        </w:rPr>
      </w:pPr>
      <w:r>
        <w:rPr>
          <w:rFonts w:hint="eastAsia" w:ascii="TimesNewRomanPSMT" w:hAnsi="TimesNewRomanPSMT" w:eastAsiaTheme="minorEastAsia"/>
          <w:b/>
          <w:bCs/>
          <w:sz w:val="24"/>
          <w:szCs w:val="20"/>
        </w:rPr>
        <w:t>2.2</w:t>
      </w:r>
      <w:r>
        <w:rPr>
          <w:rFonts w:ascii="TimesNewRomanPSMT" w:hAnsi="TimesNewRomanPSMT" w:eastAsiaTheme="minorEastAsia"/>
          <w:b/>
          <w:bCs/>
          <w:sz w:val="24"/>
          <w:szCs w:val="20"/>
        </w:rPr>
        <w:t xml:space="preserve"> </w:t>
      </w:r>
      <w:r>
        <w:rPr>
          <w:rFonts w:hint="eastAsia" w:ascii="TimesNewRomanPSMT" w:hAnsi="TimesNewRomanPSMT" w:eastAsiaTheme="minorEastAsia"/>
          <w:b/>
          <w:bCs/>
          <w:sz w:val="24"/>
          <w:szCs w:val="20"/>
        </w:rPr>
        <w:t>检查</w:t>
      </w:r>
    </w:p>
    <w:p>
      <w:pPr>
        <w:spacing w:line="360" w:lineRule="auto"/>
        <w:ind w:firstLine="600" w:firstLineChars="250"/>
        <w:rPr>
          <w:rStyle w:val="17"/>
          <w:rFonts w:hint="eastAsia"/>
          <w:color w:val="auto"/>
          <w:sz w:val="24"/>
        </w:rPr>
      </w:pPr>
      <w:r>
        <w:rPr>
          <w:rStyle w:val="17"/>
          <w:rFonts w:hint="eastAsia"/>
          <w:color w:val="auto"/>
          <w:sz w:val="24"/>
        </w:rPr>
        <w:t>及早收集所有CDC实验室确诊感染新型冠状病毒的COVID-19患者的临床生物医学信息，包括常规血检、c反应蛋白(CRP)、降钙素原(PCT)、血清淀粉样蛋白A (SAA)和计算机断层成像(CT)。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根据我国新型冠状病毒肺炎诊疗指南(修订，第五版)，COVID-19患者重度呼吸窘迫(呼吸频率≥30次/分)，低氧血氧饱和度≤93%，动脉血氧分压(PaO2)/氧饱和度(SpO2)≤300mmHg，呼吸衰竭、休克、多器官功能障碍综合征定义为重型[7]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本研究经宝鸡市中心医院制度伦理委员会批准。所有COVID-19患者和/或家属均获得口头和书面知情同意。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2.3统计学方法</w:t>
      </w:r>
    </w:p>
    <w:p>
      <w:pPr>
        <w:pStyle w:val="1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</w:rPr>
        <w:t>统计分析使用SPSS版本25.0 (IBM公司，阿蒙克，纽约，美国)为Windows(微软公司，Redmond, WA，美国)。连续变量用平均值±标准差(SD)表示，比较采用t检验。分类变量用比例和百分比表示。分类变量的比较分别采用卡方检验和秩和检验。以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</w:rPr>
        <w:t>&lt; 0.05(双侧)为差异有统计学意义。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结果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流行病学特征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新型冠状病毒感染13例(男7例，女6例;性别比例1:1.17;平均年龄(±SD) 49.54±10.85岁(范围27 ~ 71岁)。患者多为职工或农民，前2周内有武汉或湖北省其他城市旅居史。这些武汉市和湖北省以外地区的病例多为第二代人传人病例。病程3 ~ 11天，平均6.23±2.42天(从发病到确诊)。来自武汉和湖北的病例以普通型为主(表1)。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在COVID-19普通型病例中，性别无差异;重症病例以男性最多(3例)，轻型病例以女性最多(5例)，差异无统计学意义(</w:t>
      </w:r>
      <w:r>
        <w:rPr>
          <w:rFonts w:hint="eastAsia"/>
          <w:i/>
          <w:iCs/>
          <w:sz w:val="24"/>
        </w:rPr>
        <w:t>P</w:t>
      </w:r>
      <w:r>
        <w:rPr>
          <w:rFonts w:hint="eastAsia"/>
          <w:sz w:val="24"/>
        </w:rPr>
        <w:t>&gt;0.05) (表2)。在年龄和病程方面，差异无统计学意义(均</w:t>
      </w:r>
      <w:r>
        <w:rPr>
          <w:rFonts w:hint="eastAsia"/>
          <w:i/>
          <w:iCs/>
          <w:sz w:val="24"/>
        </w:rPr>
        <w:t>P</w:t>
      </w:r>
      <w:r>
        <w:rPr>
          <w:rFonts w:hint="eastAsia"/>
          <w:sz w:val="24"/>
        </w:rPr>
        <w:t>&gt;0.05)(表3)。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3.2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临床特征</w:t>
      </w:r>
    </w:p>
    <w:p>
      <w:pPr>
        <w:pStyle w:val="16"/>
        <w:ind w:firstLine="600" w:firstLineChars="25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hint="eastAsia" w:ascii="Times New Roman" w:hAnsi="Times New Roman" w:cs="Times New Roman"/>
          <w:b w:val="0"/>
          <w:sz w:val="24"/>
          <w:szCs w:val="24"/>
        </w:rPr>
        <w:t>COVID-19患者均有咳嗽症状，多数为中度发热，其中2人无发热。新冠肺炎感染者发热时间多为1 ~ 9天(平均3.09±3.21天)，持续时间多为4 ~ 11天(平均7.55±3.08天)。发热并不是感染的唯一筛查标准。近一半的新冠肺炎患者表现出痰多、乏力和厌食、恶心、呕吐、腹泻等胃肠道症状。1例新冠肺炎患者出现呼吸困难和咽痛。大多数患者的血氧饱和度(90-98%[平均 95.77±2.74%])和氧合指数(203-462mmHg[平均 324.11±96.20 mmHg])在感染新型冠状病毒早期下降。超过一半的新冠肺炎患者同时患有1到3种疾病，如高血压、糖尿病和/或脑梗死。1例患者表现为急性精神障碍;因此，关注COVID-19患者的生理和心理障碍非常重要(表4)。</w:t>
      </w:r>
    </w:p>
    <w:p>
      <w:pPr>
        <w:pStyle w:val="1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hint="eastAsia" w:ascii="Times New Roman" w:hAnsi="Times New Roman" w:cs="Times New Roman"/>
          <w:bCs w:val="0"/>
          <w:sz w:val="24"/>
          <w:szCs w:val="24"/>
        </w:rPr>
        <w:t>表1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 w:val="0"/>
          <w:sz w:val="24"/>
          <w:szCs w:val="24"/>
        </w:rPr>
        <w:t>COVID-19患者流行病学特征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4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流行病学特征</w:t>
            </w:r>
          </w:p>
        </w:tc>
        <w:tc>
          <w:tcPr>
            <w:tcW w:w="348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性别</w:t>
            </w:r>
          </w:p>
        </w:tc>
        <w:tc>
          <w:tcPr>
            <w:tcW w:w="3481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男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7 (53.8%)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女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6 (46.2%)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年龄（岁）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27–71 (49.54 ±10.85)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职业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职员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6 (46.2%)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农民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5 (38.4%)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教师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 (7.7%)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无业人员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 (7.7%)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湖北武汉旅居史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是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11 (84.62%)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否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 (15.38%)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人传人代数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第一代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 (15.38%)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第二代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9 (69.24%)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第三代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 (15.38%)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病程（天）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3–11 (6.23 ± 2.42)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严重程度分型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9 (69.24%)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4 (30.76%)</w:t>
            </w:r>
          </w:p>
        </w:tc>
      </w:tr>
    </w:tbl>
    <w:p>
      <w:pPr>
        <w:pStyle w:val="16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临床特征和疾病严重程度</w:t>
      </w:r>
    </w:p>
    <w:p>
      <w:pPr>
        <w:pStyle w:val="16"/>
        <w:ind w:firstLine="600" w:firstLineChars="25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hint="eastAsia" w:ascii="Times New Roman" w:hAnsi="Times New Roman" w:cs="Times New Roman"/>
          <w:b w:val="0"/>
          <w:sz w:val="24"/>
          <w:szCs w:val="24"/>
        </w:rPr>
        <w:t>咳嗽、发热是新冠肺炎常见临床表现。普通型、重症病例无差异；但少数普通型患者未出现发热。重症患者更容易出现咳痰、乏力等症状，差异无统计学意义(均</w:t>
      </w:r>
      <w:r>
        <w:rPr>
          <w:rFonts w:hint="eastAsia" w:ascii="Times New Roman" w:hAnsi="Times New Roman" w:cs="Times New Roman"/>
          <w:b w:val="0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b w:val="0"/>
          <w:sz w:val="24"/>
          <w:szCs w:val="24"/>
        </w:rPr>
        <w:t>&gt;0.05)。血氧饱和度和氧合指数均为鉴别轻、重度COVID-19的敏感指标(均</w:t>
      </w:r>
      <w:r>
        <w:rPr>
          <w:rFonts w:hint="eastAsia" w:ascii="Times New Roman" w:hAnsi="Times New Roman" w:cs="Times New Roman"/>
          <w:b w:val="0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b w:val="0"/>
          <w:sz w:val="24"/>
          <w:szCs w:val="24"/>
        </w:rPr>
        <w:t>&lt;0.05)。重症COVID-19患者更容易出现缺氧和呼吸窘迫(表5)。本研究还证实，有合并症的患者在感染COVID-19早期更容易恶化(</w:t>
      </w:r>
      <w:r>
        <w:rPr>
          <w:rFonts w:hint="eastAsia" w:ascii="Times New Roman" w:hAnsi="Times New Roman" w:cs="Times New Roman"/>
          <w:b w:val="0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b w:val="0"/>
          <w:sz w:val="24"/>
          <w:szCs w:val="24"/>
        </w:rPr>
        <w:t>&lt;0.05)(表6)。</w:t>
      </w:r>
    </w:p>
    <w:p>
      <w:pPr>
        <w:pStyle w:val="1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hint="eastAsia" w:ascii="Times New Roman" w:hAnsi="Times New Roman" w:cs="Times New Roman"/>
          <w:bCs w:val="0"/>
          <w:sz w:val="24"/>
          <w:szCs w:val="24"/>
        </w:rPr>
        <w:t>表2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 w:val="0"/>
          <w:sz w:val="21"/>
          <w:szCs w:val="21"/>
        </w:rPr>
        <w:t>普通型与重症患者性别比较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52"/>
        <w:gridCol w:w="269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性别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#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(n = 9)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4 (44.44%) 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5 (55.56%)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(n = </w:t>
            </w: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3 (75%)</w:t>
            </w:r>
          </w:p>
        </w:tc>
        <w:tc>
          <w:tcPr>
            <w:tcW w:w="2693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 (25%)</w:t>
            </w:r>
          </w:p>
        </w:tc>
      </w:tr>
    </w:tbl>
    <w:p>
      <w:pPr>
        <w:pStyle w:val="16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# </w:t>
      </w:r>
      <w:r>
        <w:rPr>
          <w:rFonts w:ascii="Times New Roman" w:hAnsi="Times New Roman" w:cs="Times New Roman"/>
          <w:b w:val="0"/>
          <w:i/>
          <w:iCs/>
          <w:sz w:val="21"/>
          <w:szCs w:val="21"/>
        </w:rPr>
        <w:t>x</w:t>
      </w:r>
      <w:r>
        <w:rPr>
          <w:rFonts w:ascii="Times New Roman" w:hAnsi="Times New Roman" w:cs="Times New Roman"/>
          <w:b w:val="0"/>
          <w:i/>
          <w:iCs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= 0.1741, </w:t>
      </w:r>
      <w:r>
        <w:rPr>
          <w:rFonts w:ascii="Times New Roman" w:hAnsi="Times New Roman" w:cs="Times New Roman"/>
          <w:b w:val="0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&gt; 0.05</w:t>
      </w:r>
    </w:p>
    <w:p>
      <w:pPr>
        <w:pStyle w:val="16"/>
        <w:rPr>
          <w:rFonts w:ascii="Times New Roman" w:hAnsi="Times New Roman" w:cs="Times New Roman"/>
          <w:bCs w:val="0"/>
          <w:sz w:val="21"/>
          <w:szCs w:val="21"/>
        </w:rPr>
      </w:pPr>
      <w:r>
        <w:rPr>
          <w:rFonts w:hint="eastAsia" w:ascii="Times New Roman" w:hAnsi="Times New Roman" w:cs="Times New Roman"/>
          <w:bCs w:val="0"/>
          <w:sz w:val="21"/>
          <w:szCs w:val="21"/>
        </w:rPr>
        <w:t>表3</w:t>
      </w:r>
      <w:r>
        <w:rPr>
          <w:rFonts w:ascii="Times New Roman" w:hAnsi="Times New Roman" w:cs="Times New Roman"/>
          <w:bCs w:val="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Cs w:val="0"/>
          <w:sz w:val="21"/>
          <w:szCs w:val="21"/>
        </w:rPr>
        <w:t>普通型与重症患者年龄和病程比较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4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年龄和病程</w:t>
            </w:r>
          </w:p>
        </w:tc>
        <w:tc>
          <w:tcPr>
            <w:tcW w:w="348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年龄（岁）</w:t>
            </w:r>
          </w:p>
        </w:tc>
        <w:tc>
          <w:tcPr>
            <w:tcW w:w="3481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color w:val="auto"/>
                <w:sz w:val="21"/>
                <w:szCs w:val="21"/>
              </w:rPr>
              <w:t>27</w:t>
            </w:r>
            <w:r>
              <w:rPr>
                <w:rStyle w:val="30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color w:val="auto"/>
                <w:sz w:val="21"/>
                <w:szCs w:val="21"/>
              </w:rPr>
              <w:t>71 (47.00 ± 11.74)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color w:val="auto"/>
                <w:sz w:val="21"/>
                <w:szCs w:val="21"/>
              </w:rPr>
              <w:t>50</w:t>
            </w:r>
            <w:r>
              <w:rPr>
                <w:rStyle w:val="30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color w:val="auto"/>
                <w:sz w:val="21"/>
                <w:szCs w:val="21"/>
              </w:rPr>
              <w:t>64 (55.25 ± 6.40)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i/>
                <w:iCs/>
                <w:color w:val="auto"/>
                <w:sz w:val="21"/>
                <w:szCs w:val="21"/>
              </w:rPr>
              <w:t>t</w:t>
            </w:r>
            <w:r>
              <w:rPr>
                <w:rStyle w:val="17"/>
                <w:color w:val="auto"/>
                <w:sz w:val="21"/>
                <w:szCs w:val="21"/>
              </w:rPr>
              <w:t xml:space="preserve"> </w:t>
            </w:r>
            <w:r>
              <w:rPr>
                <w:rStyle w:val="29"/>
                <w:color w:val="auto"/>
                <w:sz w:val="21"/>
                <w:szCs w:val="21"/>
              </w:rPr>
              <w:t xml:space="preserve">= </w:t>
            </w:r>
            <w:r>
              <w:rPr>
                <w:rStyle w:val="35"/>
                <w:color w:val="auto"/>
                <w:sz w:val="21"/>
                <w:szCs w:val="21"/>
              </w:rPr>
              <w:t>-</w:t>
            </w:r>
            <w:r>
              <w:rPr>
                <w:rStyle w:val="29"/>
                <w:color w:val="auto"/>
                <w:sz w:val="21"/>
                <w:szCs w:val="21"/>
              </w:rPr>
              <w:t xml:space="preserve">1.301, </w:t>
            </w:r>
            <w:r>
              <w:rPr>
                <w:rStyle w:val="17"/>
                <w:i/>
                <w:iCs/>
                <w:color w:val="auto"/>
                <w:sz w:val="21"/>
                <w:szCs w:val="21"/>
              </w:rPr>
              <w:t>P</w:t>
            </w:r>
            <w:r>
              <w:rPr>
                <w:rStyle w:val="17"/>
                <w:color w:val="auto"/>
                <w:sz w:val="21"/>
                <w:szCs w:val="21"/>
              </w:rPr>
              <w:t xml:space="preserve"> </w:t>
            </w:r>
            <w:r>
              <w:rPr>
                <w:rStyle w:val="29"/>
                <w:color w:val="auto"/>
                <w:sz w:val="21"/>
                <w:szCs w:val="21"/>
              </w:rPr>
              <w:t>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病程（天）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color w:val="auto"/>
                <w:sz w:val="21"/>
                <w:szCs w:val="21"/>
              </w:rPr>
              <w:t>3</w:t>
            </w:r>
            <w:r>
              <w:rPr>
                <w:rStyle w:val="30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color w:val="auto"/>
                <w:sz w:val="21"/>
                <w:szCs w:val="21"/>
              </w:rPr>
              <w:t>11 (6.67 ± 2.69)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color w:val="auto"/>
                <w:sz w:val="21"/>
                <w:szCs w:val="21"/>
              </w:rPr>
              <w:t>4</w:t>
            </w:r>
            <w:r>
              <w:rPr>
                <w:rStyle w:val="30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color w:val="auto"/>
                <w:sz w:val="21"/>
                <w:szCs w:val="21"/>
              </w:rPr>
              <w:t>7 (5.25 ± 1.50)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  <w:bottom w:val="single" w:color="auto" w:sz="12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Style w:val="17"/>
                <w:i/>
                <w:iCs/>
                <w:color w:val="auto"/>
                <w:sz w:val="21"/>
                <w:szCs w:val="21"/>
              </w:rPr>
              <w:t xml:space="preserve">t </w:t>
            </w:r>
            <w:r>
              <w:rPr>
                <w:rStyle w:val="29"/>
                <w:color w:val="auto"/>
                <w:sz w:val="21"/>
                <w:szCs w:val="21"/>
              </w:rPr>
              <w:t xml:space="preserve">= 0.972, </w:t>
            </w:r>
            <w:r>
              <w:rPr>
                <w:rStyle w:val="17"/>
                <w:i/>
                <w:iCs/>
                <w:color w:val="auto"/>
                <w:sz w:val="21"/>
                <w:szCs w:val="21"/>
              </w:rPr>
              <w:t xml:space="preserve">P </w:t>
            </w:r>
            <w:r>
              <w:rPr>
                <w:rStyle w:val="29"/>
                <w:color w:val="auto"/>
                <w:sz w:val="21"/>
                <w:szCs w:val="21"/>
              </w:rPr>
              <w:t>&gt; 0.05</w:t>
            </w:r>
          </w:p>
        </w:tc>
      </w:tr>
    </w:tbl>
    <w:p>
      <w:pPr>
        <w:pStyle w:val="16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临床生化特征</w:t>
      </w:r>
    </w:p>
    <w:p>
      <w:pPr>
        <w:pStyle w:val="16"/>
        <w:ind w:firstLine="480" w:firstLineChars="2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</w:rPr>
        <w:t>COVID-19感染早期，血常规(白细胞、中性粒细胞、淋巴细胞和单核细胞)无明显变化，重症患者白细胞和中性粒细胞高于轻症患者(均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</w:rPr>
        <w:t>&lt;0.05)。PCT水平在感染早期未见升高，轻、重症间无差异。与此相反，CRP和SAA水平在所有COVID-19病例中均迅速升高，且这两种生物标志物在重症患者中的水平显著高于轻症患者(均P&lt;0.05)。因此，CRP和SAA可能是预测COVID-19和分级疾病严重程度的敏感指标(表7)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3.5影像学变化：</w:t>
      </w:r>
      <w:r>
        <w:rPr>
          <w:b/>
          <w:sz w:val="24"/>
        </w:rPr>
        <w:t xml:space="preserve">CT 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 xml:space="preserve">几乎所有COVID-19患者的胸部CT均表现为影像学改变，重型病例为双侧肺病变，普通型为单侧和双侧肺病变。1例普通型患者无明显肺损害(u-=3.1542, </w:t>
      </w:r>
      <w:r>
        <w:rPr>
          <w:rFonts w:hint="eastAsia"/>
          <w:bCs/>
          <w:i/>
          <w:iCs/>
          <w:sz w:val="24"/>
        </w:rPr>
        <w:t>P</w:t>
      </w:r>
      <w:r>
        <w:rPr>
          <w:rFonts w:hint="eastAsia"/>
          <w:bCs/>
          <w:sz w:val="24"/>
        </w:rPr>
        <w:t xml:space="preserve">&lt;0.05)。COVID-19患者胸部CT表现为双肺多发片状亚节段或节段磨玻璃样混浊、影或实变。确诊感染新型冠状病毒5天后，CT显示半数以上普通型症患者肺部有阴影或实变；但大多重症病例影像学均有加重表现(u-=1.9748, </w:t>
      </w:r>
      <w:r>
        <w:rPr>
          <w:rFonts w:hint="eastAsia"/>
          <w:bCs/>
          <w:i/>
          <w:iCs/>
          <w:sz w:val="24"/>
        </w:rPr>
        <w:t>P</w:t>
      </w:r>
      <w:r>
        <w:rPr>
          <w:rFonts w:hint="eastAsia"/>
          <w:bCs/>
          <w:sz w:val="24"/>
        </w:rPr>
        <w:t>&lt;0.05)。胸部CT是检查和评估COVID-19患者病情严重程度的有效方法(表8和图1)。</w:t>
      </w:r>
    </w:p>
    <w:p>
      <w:pPr>
        <w:pStyle w:val="16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hint="eastAsia" w:ascii="Times New Roman" w:hAnsi="Times New Roman" w:cs="Times New Roman"/>
          <w:bCs w:val="0"/>
          <w:sz w:val="20"/>
          <w:szCs w:val="20"/>
        </w:rPr>
        <w:t>表4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bCs w:val="0"/>
          <w:sz w:val="20"/>
          <w:szCs w:val="20"/>
        </w:rPr>
        <w:t>COVID-19患者临床特征和合并症情况比较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4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临床特征和合并症</w:t>
            </w:r>
          </w:p>
        </w:tc>
        <w:tc>
          <w:tcPr>
            <w:tcW w:w="348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发热</w:t>
            </w:r>
          </w:p>
        </w:tc>
        <w:tc>
          <w:tcPr>
            <w:tcW w:w="3481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是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11 (84.62%)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否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2 (15.38%)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患病至发热时间（天）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</w:t>
            </w:r>
            <w:r>
              <w:rPr>
                <w:rStyle w:val="30"/>
                <w:rFonts w:ascii="Times New Roman" w:hAnsi="Times New Roman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9 (3.09 ± 3.21)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体温</w:t>
            </w:r>
            <w:r>
              <w:rPr>
                <w:rStyle w:val="17"/>
                <w:b/>
                <w:bCs/>
                <w:color w:val="auto"/>
                <w:sz w:val="21"/>
                <w:szCs w:val="21"/>
              </w:rPr>
              <w:t>(°C)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38.0</w:t>
            </w:r>
            <w:r>
              <w:rPr>
                <w:rStyle w:val="30"/>
                <w:rFonts w:ascii="Times New Roman" w:hAnsi="Times New Roman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39.0 (38.35 ± 0.40)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持续发热天数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4</w:t>
            </w:r>
            <w:r>
              <w:rPr>
                <w:rStyle w:val="30"/>
                <w:rFonts w:ascii="Times New Roman" w:hAnsi="Times New Roman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11 (7.55 ± 3.08)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咳嗽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13 (100%)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咯痰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5 (38.46%)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乏力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8 (61.54%)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胃肠道症状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6 (46.15%)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呼吸困难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 (7.69%)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咽痛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 (7.69%)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血氧饱和度(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%)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90</w:t>
            </w:r>
            <w:r>
              <w:rPr>
                <w:rStyle w:val="30"/>
                <w:rFonts w:ascii="Times New Roman" w:hAnsi="Times New Roman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98 (95.77 ± 2.74)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氧合指数(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mmHg)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203</w:t>
            </w:r>
            <w:r>
              <w:rPr>
                <w:rStyle w:val="30"/>
                <w:rFonts w:ascii="Times New Roman" w:hAnsi="Times New Roman"/>
                <w:color w:val="auto"/>
                <w:sz w:val="21"/>
                <w:szCs w:val="21"/>
              </w:rPr>
              <w:t>–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462 (324.11 ± 96.20)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合并症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是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8 (61.54%)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否</w:t>
            </w:r>
          </w:p>
        </w:tc>
        <w:tc>
          <w:tcPr>
            <w:tcW w:w="3481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5 (38.46%)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合并症数量</w:t>
            </w:r>
          </w:p>
        </w:tc>
        <w:tc>
          <w:tcPr>
            <w:tcW w:w="3481" w:type="dxa"/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3 (37.5%)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3 (37.5%)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481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2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2 (25%)</w:t>
            </w:r>
          </w:p>
        </w:tc>
      </w:tr>
    </w:tbl>
    <w:p>
      <w:pPr>
        <w:pStyle w:val="16"/>
        <w:rPr>
          <w:rFonts w:ascii="Times New Roman" w:hAnsi="Times New Roman" w:cs="Times New Roman"/>
          <w:bCs w:val="0"/>
          <w:sz w:val="21"/>
          <w:szCs w:val="21"/>
        </w:rPr>
      </w:pPr>
      <w:r>
        <w:rPr>
          <w:rFonts w:hint="eastAsia" w:ascii="Times New Roman" w:hAnsi="Times New Roman" w:cs="Times New Roman"/>
          <w:bCs w:val="0"/>
          <w:sz w:val="21"/>
          <w:szCs w:val="21"/>
        </w:rPr>
        <w:t>表5</w:t>
      </w:r>
      <w:r>
        <w:rPr>
          <w:rFonts w:ascii="Times New Roman" w:hAnsi="Times New Roman" w:cs="Times New Roman"/>
          <w:bCs w:val="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Cs w:val="0"/>
          <w:sz w:val="21"/>
          <w:szCs w:val="21"/>
        </w:rPr>
        <w:t>COVID-19患者临床特征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4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临床特征</w:t>
            </w:r>
          </w:p>
        </w:tc>
        <w:tc>
          <w:tcPr>
            <w:tcW w:w="348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发热</w:t>
            </w:r>
          </w:p>
        </w:tc>
        <w:tc>
          <w:tcPr>
            <w:tcW w:w="3481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7 (77.78%)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4 (100%)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i/>
                <w:iCs/>
                <w:szCs w:val="21"/>
              </w:rPr>
              <w:t>x2</w:t>
            </w:r>
            <w:r>
              <w:rPr>
                <w:szCs w:val="21"/>
              </w:rPr>
              <w:t xml:space="preserve"> = 0.0369, </w:t>
            </w:r>
            <w:r>
              <w:rPr>
                <w:i/>
                <w:iCs/>
                <w:szCs w:val="21"/>
              </w:rPr>
              <w:t xml:space="preserve">P </w:t>
            </w:r>
            <w:r>
              <w:rPr>
                <w:szCs w:val="21"/>
              </w:rPr>
              <w:t>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患病至发热时间（天）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Cs w:val="21"/>
              </w:rPr>
              <w:t>1–9 (3.29 ± 3.59)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Cs w:val="21"/>
              </w:rPr>
              <w:t>1–7 (2.75 ± 2.87)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i/>
                <w:iCs/>
                <w:szCs w:val="21"/>
              </w:rPr>
              <w:t xml:space="preserve">t </w:t>
            </w:r>
            <w:r>
              <w:rPr>
                <w:szCs w:val="21"/>
              </w:rPr>
              <w:t xml:space="preserve">= 0.254, </w:t>
            </w:r>
            <w:r>
              <w:rPr>
                <w:i/>
                <w:iCs/>
                <w:szCs w:val="21"/>
              </w:rPr>
              <w:t xml:space="preserve">P </w:t>
            </w:r>
            <w:r>
              <w:rPr>
                <w:szCs w:val="21"/>
              </w:rPr>
              <w:t>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体温</w:t>
            </w:r>
            <w:r>
              <w:rPr>
                <w:rStyle w:val="17"/>
                <w:b/>
                <w:bCs/>
                <w:color w:val="auto"/>
                <w:sz w:val="21"/>
                <w:szCs w:val="21"/>
              </w:rPr>
              <w:t>(°C)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36.5–39.0 (37.91 ± 0.86)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38.0–39.0 (38.40 ± 0.49)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i/>
                <w:iCs/>
                <w:szCs w:val="21"/>
              </w:rPr>
              <w:t xml:space="preserve">t </w:t>
            </w:r>
            <w:r>
              <w:rPr>
                <w:szCs w:val="21"/>
              </w:rPr>
              <w:t xml:space="preserve">= -1.043, </w:t>
            </w:r>
            <w:r>
              <w:rPr>
                <w:i/>
                <w:iCs/>
                <w:szCs w:val="21"/>
              </w:rPr>
              <w:t>P</w:t>
            </w:r>
            <w:r>
              <w:rPr>
                <w:szCs w:val="21"/>
              </w:rPr>
              <w:t xml:space="preserve"> 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发热天数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4–11 (6.13 ± 4.70)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Cs w:val="21"/>
              </w:rPr>
              <w:t>5–10 (7.50 ± 2.89)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i/>
                <w:iCs/>
                <w:szCs w:val="21"/>
              </w:rPr>
              <w:t>t</w:t>
            </w:r>
            <w:r>
              <w:rPr>
                <w:szCs w:val="21"/>
              </w:rPr>
              <w:t xml:space="preserve"> = -0.624, </w:t>
            </w:r>
            <w:r>
              <w:rPr>
                <w:i/>
                <w:iCs/>
                <w:szCs w:val="21"/>
              </w:rPr>
              <w:t>P</w:t>
            </w:r>
            <w:r>
              <w:rPr>
                <w:szCs w:val="21"/>
              </w:rPr>
              <w:t xml:space="preserve"> 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咳嗽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Cs w:val="21"/>
              </w:rPr>
              <w:t>9 (100%)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Cs w:val="21"/>
              </w:rPr>
              <w:t>4 (100%)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咯痰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 (33.33%)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 (50%)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i/>
                <w:iCs/>
                <w:szCs w:val="21"/>
              </w:rPr>
              <w:t>x2</w:t>
            </w:r>
            <w:r>
              <w:rPr>
                <w:szCs w:val="21"/>
              </w:rPr>
              <w:t xml:space="preserve"> = 0.0021, </w:t>
            </w:r>
            <w:r>
              <w:rPr>
                <w:i/>
                <w:iCs/>
                <w:szCs w:val="21"/>
              </w:rPr>
              <w:t>P</w:t>
            </w:r>
            <w:r>
              <w:rPr>
                <w:szCs w:val="21"/>
              </w:rPr>
              <w:t xml:space="preserve"> 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乏力</w:t>
            </w:r>
          </w:p>
        </w:tc>
        <w:tc>
          <w:tcPr>
            <w:tcW w:w="3481" w:type="dxa"/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4 (44.44%)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widowControl/>
              <w:spacing w:line="16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4 (100%)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single" w:color="auto" w:sz="4" w:space="0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  <w:bottom w:val="single" w:color="auto" w:sz="4" w:space="0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>x2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 = 3.61,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 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其他症状</w:t>
            </w:r>
          </w:p>
        </w:tc>
        <w:tc>
          <w:tcPr>
            <w:tcW w:w="3481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5 (55.56%)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3 (75%)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 xml:space="preserve">x2 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= 0.4424,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 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血氧饱和度(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%)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95–98 (97.00 ± 1.80)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90–94 (93.00 ± 2.58)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 = 3.255,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 &lt;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氧合指数(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mmHg)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342–462 (398.60 ± 50.91)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203–252 (231.00 ± 20.41)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19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81" w:type="dxa"/>
            <w:tcBorders>
              <w:top w:val="nil"/>
              <w:bottom w:val="single" w:color="auto" w:sz="12" w:space="0"/>
            </w:tcBorders>
          </w:tcPr>
          <w:p>
            <w:pPr>
              <w:pStyle w:val="16"/>
              <w:spacing w:line="16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 xml:space="preserve">t 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= 6.133,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 xml:space="preserve"> &lt; 0.05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表6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合并症比较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合并症数量</w:t>
            </w:r>
            <w:r>
              <w:rPr>
                <w:szCs w:val="21"/>
              </w:rPr>
              <w:t>#</w:t>
            </w:r>
          </w:p>
        </w:tc>
        <w:tc>
          <w:tcPr>
            <w:tcW w:w="170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0</w:t>
            </w:r>
          </w:p>
        </w:tc>
        <w:tc>
          <w:tcPr>
            <w:tcW w:w="170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0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普通型</w:t>
            </w:r>
            <w:r>
              <w:rPr>
                <w:bCs/>
                <w:szCs w:val="21"/>
              </w:rPr>
              <w:t>(n = 9)</w:t>
            </w:r>
          </w:p>
        </w:tc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t>5(55.56%)</w:t>
            </w:r>
          </w:p>
        </w:tc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t>3(33.33%)</w:t>
            </w:r>
          </w:p>
        </w:tc>
        <w:tc>
          <w:tcPr>
            <w:tcW w:w="1705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t>1(11.11%)</w:t>
            </w:r>
          </w:p>
        </w:tc>
        <w:tc>
          <w:tcPr>
            <w:tcW w:w="1705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重型</w:t>
            </w:r>
            <w:r>
              <w:rPr>
                <w:bCs/>
                <w:szCs w:val="21"/>
              </w:rPr>
              <w:t>(n = 4)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0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0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t>2 (50%)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t>2 (50%)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szCs w:val="21"/>
        </w:rPr>
        <w:t>#</w:t>
      </w:r>
      <w:r>
        <w:rPr>
          <w:i/>
          <w:iCs/>
          <w:szCs w:val="21"/>
        </w:rPr>
        <w:t>x</w:t>
      </w:r>
      <w:r>
        <w:rPr>
          <w:i/>
          <w:iCs/>
          <w:szCs w:val="21"/>
          <w:vertAlign w:val="superscript"/>
        </w:rPr>
        <w:t>2</w:t>
      </w:r>
      <w:r>
        <w:rPr>
          <w:szCs w:val="21"/>
        </w:rPr>
        <w:t xml:space="preserve"> = 11.0963, </w:t>
      </w:r>
      <w:r>
        <w:rPr>
          <w:i/>
          <w:iCs/>
          <w:szCs w:val="21"/>
        </w:rPr>
        <w:t>P</w:t>
      </w:r>
      <w:r>
        <w:rPr>
          <w:szCs w:val="21"/>
        </w:rPr>
        <w:t xml:space="preserve"> &lt; 0.0</w:t>
      </w:r>
      <w:r>
        <w:rPr>
          <w:rFonts w:hint="eastAsia"/>
          <w:szCs w:val="21"/>
        </w:rPr>
        <w:t>5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表7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血清学指标比较</w:t>
      </w:r>
      <w:r>
        <w:rPr>
          <w:b/>
          <w:szCs w:val="21"/>
        </w:rPr>
        <w:tab/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460"/>
        <w:gridCol w:w="1375"/>
        <w:gridCol w:w="20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所有病例</w:t>
            </w:r>
          </w:p>
        </w:tc>
        <w:tc>
          <w:tcPr>
            <w:tcW w:w="1460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普通型</w:t>
            </w:r>
          </w:p>
        </w:tc>
        <w:tc>
          <w:tcPr>
            <w:tcW w:w="137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重型</w:t>
            </w:r>
          </w:p>
        </w:tc>
        <w:tc>
          <w:tcPr>
            <w:tcW w:w="203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白细胞</w:t>
            </w:r>
            <w:r>
              <w:rPr>
                <w:rFonts w:ascii="AdvTT99c4c969" w:hAnsi="AdvTT99c4c969"/>
                <w:bCs/>
                <w:szCs w:val="21"/>
              </w:rPr>
              <w:t>(× 10</w:t>
            </w:r>
            <w:r>
              <w:rPr>
                <w:rFonts w:ascii="AdvTT99c4c969" w:hAnsi="AdvTT99c4c969"/>
                <w:bCs/>
                <w:szCs w:val="21"/>
                <w:vertAlign w:val="superscript"/>
              </w:rPr>
              <w:t>9</w:t>
            </w:r>
            <w:r>
              <w:rPr>
                <w:rFonts w:ascii="AdvTT99c4c969" w:hAnsi="AdvTT99c4c969"/>
                <w:bCs/>
                <w:szCs w:val="21"/>
              </w:rPr>
              <w:t>/L)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3.97 ± 0.89</w:t>
            </w:r>
          </w:p>
        </w:tc>
        <w:tc>
          <w:tcPr>
            <w:tcW w:w="1460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3.58 ± 0.70</w:t>
            </w:r>
          </w:p>
        </w:tc>
        <w:tc>
          <w:tcPr>
            <w:tcW w:w="1375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4.85 ± 0.60</w:t>
            </w:r>
          </w:p>
        </w:tc>
        <w:tc>
          <w:tcPr>
            <w:tcW w:w="203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Cs w:val="21"/>
              </w:rPr>
              <w:t xml:space="preserve">* </w:t>
            </w:r>
            <w:r>
              <w:rPr>
                <w:rFonts w:ascii="AdvTT1b53b5fb.I" w:hAnsi="AdvTT1b53b5fb.I"/>
                <w:i/>
                <w:iCs/>
                <w:szCs w:val="21"/>
              </w:rPr>
              <w:t>t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 xml:space="preserve">= </w:t>
            </w:r>
            <w:r>
              <w:rPr>
                <w:rFonts w:ascii="AdvTTb5929f4c+22" w:hAnsi="AdvTTb5929f4c+22"/>
                <w:szCs w:val="21"/>
              </w:rPr>
              <w:t>-</w:t>
            </w:r>
            <w:r>
              <w:rPr>
                <w:rFonts w:ascii="AdvTTb5929f4c" w:hAnsi="AdvTTb5929f4c"/>
                <w:szCs w:val="21"/>
              </w:rPr>
              <w:t xml:space="preserve">3.132, </w:t>
            </w:r>
            <w:r>
              <w:rPr>
                <w:rFonts w:ascii="AdvTT1b53b5fb.I" w:hAnsi="AdvTT1b53b5fb.I"/>
                <w:i/>
                <w:iCs/>
                <w:szCs w:val="21"/>
              </w:rPr>
              <w:t>P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>&lt;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中性粒细胞</w:t>
            </w:r>
            <w:r>
              <w:rPr>
                <w:rFonts w:ascii="AdvTT99c4c969" w:hAnsi="AdvTT99c4c969"/>
                <w:bCs/>
                <w:szCs w:val="21"/>
              </w:rPr>
              <w:t>(× 10</w:t>
            </w:r>
            <w:r>
              <w:rPr>
                <w:rFonts w:ascii="AdvTT99c4c969" w:hAnsi="AdvTT99c4c969"/>
                <w:bCs/>
                <w:szCs w:val="21"/>
                <w:vertAlign w:val="superscript"/>
              </w:rPr>
              <w:t>9</w:t>
            </w:r>
            <w:r>
              <w:rPr>
                <w:rFonts w:ascii="AdvTT99c4c969" w:hAnsi="AdvTT99c4c969"/>
                <w:bCs/>
                <w:szCs w:val="21"/>
              </w:rPr>
              <w:t>/L)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2.46 ± 0.76</w:t>
            </w:r>
          </w:p>
        </w:tc>
        <w:tc>
          <w:tcPr>
            <w:tcW w:w="1460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2.12 ± 0.56</w:t>
            </w:r>
          </w:p>
        </w:tc>
        <w:tc>
          <w:tcPr>
            <w:tcW w:w="1375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3.25 ± 0.52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 w:val="20"/>
                <w:szCs w:val="20"/>
              </w:rPr>
              <w:t>*</w:t>
            </w:r>
            <w:r>
              <w:rPr>
                <w:rFonts w:ascii="AdvTT1b53b5fb.I" w:hAnsi="AdvTT1b53b5fb.I"/>
                <w:i/>
                <w:iCs/>
                <w:sz w:val="20"/>
                <w:szCs w:val="20"/>
              </w:rPr>
              <w:t xml:space="preserve"> t</w:t>
            </w:r>
            <w:r>
              <w:rPr>
                <w:rFonts w:ascii="AdvTT1b53b5fb.I" w:hAnsi="AdvTT1b53b5fb.I"/>
                <w:sz w:val="20"/>
                <w:szCs w:val="20"/>
              </w:rPr>
              <w:t xml:space="preserve"> </w:t>
            </w:r>
            <w:r>
              <w:rPr>
                <w:rFonts w:ascii="AdvTTb5929f4c" w:hAnsi="AdvTTb5929f4c"/>
                <w:sz w:val="20"/>
                <w:szCs w:val="20"/>
              </w:rPr>
              <w:t xml:space="preserve">= </w:t>
            </w:r>
            <w:r>
              <w:rPr>
                <w:rFonts w:ascii="AdvTTb5929f4c+22" w:hAnsi="AdvTTb5929f4c+22"/>
                <w:sz w:val="20"/>
                <w:szCs w:val="20"/>
              </w:rPr>
              <w:t xml:space="preserve">- </w:t>
            </w:r>
            <w:r>
              <w:rPr>
                <w:rFonts w:ascii="AdvTTb5929f4c" w:hAnsi="AdvTTb5929f4c"/>
                <w:sz w:val="20"/>
                <w:szCs w:val="20"/>
              </w:rPr>
              <w:t xml:space="preserve">3.410, </w:t>
            </w:r>
            <w:r>
              <w:rPr>
                <w:rFonts w:ascii="AdvTT1b53b5fb.I" w:hAnsi="AdvTT1b53b5fb.I"/>
                <w:i/>
                <w:iCs/>
                <w:sz w:val="20"/>
                <w:szCs w:val="20"/>
              </w:rPr>
              <w:t>P</w:t>
            </w:r>
            <w:r>
              <w:rPr>
                <w:rFonts w:ascii="AdvTT1b53b5fb.I" w:hAnsi="AdvTT1b53b5fb.I"/>
                <w:sz w:val="20"/>
                <w:szCs w:val="20"/>
              </w:rPr>
              <w:t xml:space="preserve"> </w:t>
            </w:r>
            <w:r>
              <w:rPr>
                <w:rFonts w:ascii="AdvTTb5929f4c" w:hAnsi="AdvTTb5929f4c"/>
                <w:sz w:val="20"/>
                <w:szCs w:val="20"/>
              </w:rPr>
              <w:t>&lt;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淋巴细胞</w:t>
            </w:r>
            <w:r>
              <w:rPr>
                <w:rFonts w:ascii="AdvTT99c4c969" w:hAnsi="AdvTT99c4c969"/>
                <w:bCs/>
                <w:szCs w:val="21"/>
              </w:rPr>
              <w:t>(× 10</w:t>
            </w:r>
            <w:r>
              <w:rPr>
                <w:rFonts w:ascii="AdvTT99c4c969" w:hAnsi="AdvTT99c4c969"/>
                <w:bCs/>
                <w:szCs w:val="21"/>
                <w:vertAlign w:val="superscript"/>
              </w:rPr>
              <w:t>9</w:t>
            </w:r>
            <w:r>
              <w:rPr>
                <w:rFonts w:ascii="AdvTT99c4c969" w:hAnsi="AdvTT99c4c969"/>
                <w:bCs/>
                <w:szCs w:val="21"/>
              </w:rPr>
              <w:t>/L)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0.98 ± 0.21</w:t>
            </w:r>
          </w:p>
        </w:tc>
        <w:tc>
          <w:tcPr>
            <w:tcW w:w="1460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0.99 ± 0.25</w:t>
            </w:r>
          </w:p>
        </w:tc>
        <w:tc>
          <w:tcPr>
            <w:tcW w:w="1375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0.95 ± 0.09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Cs w:val="21"/>
              </w:rPr>
              <w:t xml:space="preserve">* </w:t>
            </w:r>
            <w:r>
              <w:rPr>
                <w:rFonts w:ascii="AdvTT1b53b5fb.I" w:hAnsi="AdvTT1b53b5fb.I"/>
                <w:i/>
                <w:iCs/>
                <w:szCs w:val="21"/>
              </w:rPr>
              <w:t>t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 xml:space="preserve">= 0.368, </w:t>
            </w:r>
            <w:r>
              <w:rPr>
                <w:rFonts w:ascii="AdvTT1b53b5fb.I" w:hAnsi="AdvTT1b53b5fb.I"/>
                <w:i/>
                <w:iCs/>
                <w:szCs w:val="21"/>
              </w:rPr>
              <w:t>P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>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单核细胞</w:t>
            </w:r>
            <w:r>
              <w:rPr>
                <w:rFonts w:ascii="AdvTT99c4c969" w:hAnsi="AdvTT99c4c969"/>
                <w:bCs/>
                <w:szCs w:val="21"/>
              </w:rPr>
              <w:t>(× 10</w:t>
            </w:r>
            <w:r>
              <w:rPr>
                <w:rFonts w:ascii="AdvTT99c4c969" w:hAnsi="AdvTT99c4c969"/>
                <w:bCs/>
                <w:szCs w:val="21"/>
                <w:vertAlign w:val="superscript"/>
              </w:rPr>
              <w:t>9</w:t>
            </w:r>
            <w:r>
              <w:rPr>
                <w:rFonts w:ascii="AdvTT99c4c969" w:hAnsi="AdvTT99c4c969"/>
                <w:bCs/>
                <w:szCs w:val="21"/>
              </w:rPr>
              <w:t>/L)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0.48 ± 0.25</w:t>
            </w:r>
          </w:p>
        </w:tc>
        <w:tc>
          <w:tcPr>
            <w:tcW w:w="1460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0.41 ± 0.18</w:t>
            </w:r>
          </w:p>
        </w:tc>
        <w:tc>
          <w:tcPr>
            <w:tcW w:w="1375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0.63 ± 0.34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Cs w:val="21"/>
              </w:rPr>
              <w:t>*</w:t>
            </w:r>
            <w:r>
              <w:rPr>
                <w:rFonts w:ascii="AdvTT1b53b5fb.I" w:hAnsi="AdvTT1b53b5fb.I"/>
                <w:i/>
                <w:iCs/>
                <w:szCs w:val="21"/>
              </w:rPr>
              <w:t xml:space="preserve"> t </w:t>
            </w:r>
            <w:r>
              <w:rPr>
                <w:rFonts w:ascii="AdvTTb5929f4c" w:hAnsi="AdvTTb5929f4c"/>
                <w:szCs w:val="21"/>
              </w:rPr>
              <w:t xml:space="preserve">= </w:t>
            </w:r>
            <w:r>
              <w:rPr>
                <w:rFonts w:ascii="AdvTTb5929f4c+22" w:hAnsi="AdvTTb5929f4c+22"/>
                <w:szCs w:val="21"/>
              </w:rPr>
              <w:t>-</w:t>
            </w:r>
            <w:r>
              <w:rPr>
                <w:rFonts w:ascii="AdvTTb5929f4c" w:hAnsi="AdvTTb5929f4c"/>
                <w:szCs w:val="21"/>
              </w:rPr>
              <w:t xml:space="preserve">1.586, </w:t>
            </w:r>
            <w:r>
              <w:rPr>
                <w:rFonts w:ascii="AdvTT1b53b5fb.I" w:hAnsi="AdvTT1b53b5fb.I"/>
                <w:i/>
                <w:iCs/>
                <w:szCs w:val="21"/>
              </w:rPr>
              <w:t>P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>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</w:t>
            </w:r>
            <w:r>
              <w:rPr>
                <w:bCs/>
                <w:szCs w:val="21"/>
              </w:rPr>
              <w:t>RP (mg/L)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 w:val="20"/>
                <w:szCs w:val="20"/>
              </w:rPr>
              <w:t>20.07 ± 24.66</w:t>
            </w:r>
          </w:p>
        </w:tc>
        <w:tc>
          <w:tcPr>
            <w:tcW w:w="1460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9.84 ± 11.90</w:t>
            </w:r>
          </w:p>
        </w:tc>
        <w:tc>
          <w:tcPr>
            <w:tcW w:w="1375" w:type="dxa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 w:val="18"/>
                <w:szCs w:val="18"/>
              </w:rPr>
              <w:t>43.09 ± 32.17</w:t>
            </w:r>
          </w:p>
        </w:tc>
        <w:tc>
          <w:tcPr>
            <w:tcW w:w="2035" w:type="dxa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Cs w:val="21"/>
              </w:rPr>
              <w:t>*</w:t>
            </w:r>
            <w:r>
              <w:rPr>
                <w:rFonts w:ascii="AdvTT1b53b5fb.I" w:hAnsi="AdvTT1b53b5fb.I"/>
                <w:i/>
                <w:iCs/>
                <w:szCs w:val="21"/>
              </w:rPr>
              <w:t xml:space="preserve"> t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 xml:space="preserve">= </w:t>
            </w:r>
            <w:r>
              <w:rPr>
                <w:rFonts w:ascii="AdvTTb5929f4c+22" w:hAnsi="AdvTTb5929f4c+22"/>
                <w:szCs w:val="21"/>
              </w:rPr>
              <w:t>-</w:t>
            </w:r>
            <w:r>
              <w:rPr>
                <w:rFonts w:ascii="AdvTTb5929f4c" w:hAnsi="AdvTTb5929f4c"/>
                <w:szCs w:val="21"/>
              </w:rPr>
              <w:t xml:space="preserve">2.819, </w:t>
            </w:r>
            <w:r>
              <w:rPr>
                <w:rFonts w:ascii="AdvTT1b53b5fb.I" w:hAnsi="AdvTT1b53b5fb.I"/>
                <w:i/>
                <w:iCs/>
                <w:szCs w:val="21"/>
              </w:rPr>
              <w:t>P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>&lt;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bottom w:val="nil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P</w:t>
            </w:r>
            <w:r>
              <w:rPr>
                <w:bCs/>
                <w:szCs w:val="21"/>
              </w:rPr>
              <w:t>CT (ng/L)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0.04 ± 0.03</w:t>
            </w:r>
          </w:p>
        </w:tc>
        <w:tc>
          <w:tcPr>
            <w:tcW w:w="1460" w:type="dxa"/>
            <w:tcBorders>
              <w:bottom w:val="nil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0.03 ± 0.02</w:t>
            </w:r>
          </w:p>
        </w:tc>
        <w:tc>
          <w:tcPr>
            <w:tcW w:w="1375" w:type="dxa"/>
            <w:tcBorders>
              <w:bottom w:val="nil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0.05 ± 0.03</w:t>
            </w:r>
          </w:p>
        </w:tc>
        <w:tc>
          <w:tcPr>
            <w:tcW w:w="2035" w:type="dxa"/>
            <w:tcBorders>
              <w:bottom w:val="nil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Cs w:val="21"/>
              </w:rPr>
              <w:t xml:space="preserve">* </w:t>
            </w:r>
            <w:r>
              <w:rPr>
                <w:rFonts w:ascii="AdvTT1b53b5fb.I" w:hAnsi="AdvTT1b53b5fb.I"/>
                <w:i/>
                <w:iCs/>
                <w:szCs w:val="21"/>
              </w:rPr>
              <w:t>t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 xml:space="preserve">= </w:t>
            </w:r>
            <w:r>
              <w:rPr>
                <w:rFonts w:ascii="AdvTTb5929f4c+22" w:hAnsi="AdvTTb5929f4c+22"/>
                <w:szCs w:val="21"/>
              </w:rPr>
              <w:t>-</w:t>
            </w:r>
            <w:r>
              <w:rPr>
                <w:rFonts w:ascii="AdvTTb5929f4c" w:hAnsi="AdvTTb5929f4c"/>
                <w:szCs w:val="21"/>
              </w:rPr>
              <w:t xml:space="preserve">0.11, </w:t>
            </w:r>
            <w:r>
              <w:rPr>
                <w:rFonts w:ascii="AdvTT1b53b5fb.I" w:hAnsi="AdvTT1b53b5fb.I"/>
                <w:i/>
                <w:iCs/>
                <w:szCs w:val="21"/>
              </w:rPr>
              <w:t>P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>&gt;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</w:t>
            </w:r>
            <w:r>
              <w:rPr>
                <w:bCs/>
                <w:szCs w:val="21"/>
              </w:rPr>
              <w:t>AA (mg/L)</w:t>
            </w:r>
          </w:p>
        </w:tc>
        <w:tc>
          <w:tcPr>
            <w:tcW w:w="1417" w:type="dxa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 w:val="18"/>
                <w:szCs w:val="18"/>
              </w:rPr>
              <w:t>93.00 ± 111.17</w:t>
            </w:r>
          </w:p>
        </w:tc>
        <w:tc>
          <w:tcPr>
            <w:tcW w:w="1460" w:type="dxa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Cs w:val="21"/>
              </w:rPr>
              <w:t>36.41 ± 47.18</w:t>
            </w:r>
          </w:p>
        </w:tc>
        <w:tc>
          <w:tcPr>
            <w:tcW w:w="1375" w:type="dxa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AdvTTb5929f4c" w:hAnsi="AdvTTb5929f4c"/>
                <w:sz w:val="18"/>
                <w:szCs w:val="18"/>
              </w:rPr>
              <w:t>268.93 ± 33.13</w:t>
            </w:r>
          </w:p>
        </w:tc>
        <w:tc>
          <w:tcPr>
            <w:tcW w:w="2035" w:type="dxa"/>
            <w:tcBorders>
              <w:top w:val="nil"/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ascii="AdvTT1b53b5fb.I" w:hAnsi="AdvTT1b53b5fb.I"/>
                <w:szCs w:val="21"/>
              </w:rPr>
              <w:t>*</w:t>
            </w:r>
            <w:r>
              <w:rPr>
                <w:rFonts w:ascii="AdvTT1b53b5fb.I" w:hAnsi="AdvTT1b53b5fb.I"/>
                <w:i/>
                <w:iCs/>
                <w:szCs w:val="21"/>
              </w:rPr>
              <w:t xml:space="preserve"> t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 xml:space="preserve">= </w:t>
            </w:r>
            <w:r>
              <w:rPr>
                <w:rFonts w:ascii="AdvTTb5929f4c+22" w:hAnsi="AdvTTb5929f4c+22"/>
                <w:szCs w:val="21"/>
              </w:rPr>
              <w:t>-</w:t>
            </w:r>
            <w:r>
              <w:rPr>
                <w:rFonts w:ascii="AdvTTb5929f4c" w:hAnsi="AdvTTb5929f4c"/>
                <w:szCs w:val="21"/>
              </w:rPr>
              <w:t xml:space="preserve">8.835, </w:t>
            </w:r>
            <w:r>
              <w:rPr>
                <w:rFonts w:ascii="AdvTT1b53b5fb.I" w:hAnsi="AdvTT1b53b5fb.I"/>
                <w:i/>
                <w:iCs/>
                <w:szCs w:val="21"/>
              </w:rPr>
              <w:t>P</w:t>
            </w:r>
            <w:r>
              <w:rPr>
                <w:rFonts w:ascii="AdvTT1b53b5fb.I" w:hAnsi="AdvTT1b53b5fb.I"/>
                <w:szCs w:val="21"/>
              </w:rPr>
              <w:t xml:space="preserve"> </w:t>
            </w:r>
            <w:r>
              <w:rPr>
                <w:rFonts w:ascii="AdvTTb5929f4c" w:hAnsi="AdvTTb5929f4c"/>
                <w:szCs w:val="21"/>
              </w:rPr>
              <w:t>&lt; 0.05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pStyle w:val="16"/>
        <w:rPr>
          <w:rFonts w:ascii="Times New Roman" w:hAnsi="Times New Roman" w:cs="Times New Roman"/>
          <w:bCs w:val="0"/>
          <w:sz w:val="21"/>
          <w:szCs w:val="21"/>
        </w:rPr>
      </w:pPr>
      <w:r>
        <w:rPr>
          <w:rFonts w:hint="eastAsia" w:ascii="Times New Roman" w:hAnsi="Times New Roman" w:cs="Times New Roman"/>
          <w:bCs w:val="0"/>
          <w:sz w:val="21"/>
          <w:szCs w:val="21"/>
        </w:rPr>
        <w:t>表</w:t>
      </w:r>
      <w:r>
        <w:rPr>
          <w:rFonts w:ascii="Times New Roman" w:hAnsi="Times New Roman" w:cs="Times New Roman"/>
          <w:bCs w:val="0"/>
          <w:sz w:val="21"/>
          <w:szCs w:val="21"/>
        </w:rPr>
        <w:t>8  CT</w:t>
      </w:r>
      <w:r>
        <w:rPr>
          <w:rFonts w:hint="eastAsia" w:ascii="Times New Roman" w:hAnsi="Times New Roman" w:cs="Times New Roman"/>
          <w:bCs w:val="0"/>
          <w:sz w:val="21"/>
          <w:szCs w:val="21"/>
        </w:rPr>
        <w:t>影像改变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52"/>
        <w:gridCol w:w="269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普通型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(n = 9)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重型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  <w:t>(n = 4)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起始胸部C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病变</w:t>
            </w:r>
          </w:p>
        </w:tc>
        <w:tc>
          <w:tcPr>
            <w:tcW w:w="2552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无肺部异常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 (11.11%)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单肺病变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 (11.11%)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双肺病变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Style w:val="17"/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7 (77.78%)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4 (100%)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i/>
                <w:iCs/>
                <w:color w:val="auto"/>
                <w:sz w:val="21"/>
                <w:szCs w:val="21"/>
              </w:rPr>
              <w:t>u-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Style w:val="29"/>
                <w:rFonts w:ascii="Times New Roman" w:hAnsi="Times New Roman"/>
                <w:color w:val="auto"/>
                <w:sz w:val="21"/>
                <w:szCs w:val="21"/>
              </w:rPr>
              <w:t xml:space="preserve">= 3.1542, </w:t>
            </w:r>
            <w:r>
              <w:rPr>
                <w:rStyle w:val="17"/>
                <w:rFonts w:ascii="Times New Roman" w:hAnsi="Times New Roman"/>
                <w:i/>
                <w:iCs/>
                <w:color w:val="auto"/>
                <w:sz w:val="21"/>
                <w:szCs w:val="21"/>
              </w:rPr>
              <w:t>P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Style w:val="29"/>
                <w:rFonts w:ascii="Times New Roman" w:hAnsi="Times New Roman"/>
                <w:color w:val="auto"/>
                <w:sz w:val="21"/>
                <w:szCs w:val="21"/>
              </w:rPr>
              <w:t>&lt; 0.05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5天后胸部C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bCs w:val="0"/>
                <w:sz w:val="21"/>
                <w:szCs w:val="21"/>
              </w:rPr>
              <w:t>改变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恶化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2 (22.22%)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3 (75%)</w:t>
            </w:r>
          </w:p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无变化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2 (22.22%)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1"/>
              </w:rPr>
              <w:t>吸收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5 (55.56%)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>1 (25%)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Style w:val="17"/>
                <w:rFonts w:ascii="Times New Roman" w:hAnsi="Times New Roman"/>
                <w:i/>
                <w:iCs/>
                <w:color w:val="auto"/>
                <w:sz w:val="21"/>
                <w:szCs w:val="21"/>
              </w:rPr>
              <w:t xml:space="preserve">u- </w:t>
            </w:r>
            <w:r>
              <w:rPr>
                <w:rStyle w:val="29"/>
                <w:rFonts w:ascii="Times New Roman" w:hAnsi="Times New Roman"/>
                <w:color w:val="auto"/>
                <w:sz w:val="21"/>
                <w:szCs w:val="21"/>
              </w:rPr>
              <w:t>= 1.9748,</w:t>
            </w:r>
            <w:r>
              <w:rPr>
                <w:rStyle w:val="29"/>
                <w:rFonts w:ascii="Times New Roman" w:hAnsi="Times New Roman"/>
                <w:i/>
                <w:iCs/>
                <w:color w:val="auto"/>
                <w:sz w:val="21"/>
                <w:szCs w:val="21"/>
              </w:rPr>
              <w:t xml:space="preserve"> </w:t>
            </w:r>
            <w:r>
              <w:rPr>
                <w:rStyle w:val="17"/>
                <w:rFonts w:ascii="Times New Roman" w:hAnsi="Times New Roman"/>
                <w:i/>
                <w:iCs/>
                <w:color w:val="auto"/>
                <w:sz w:val="21"/>
                <w:szCs w:val="21"/>
              </w:rPr>
              <w:t>P</w:t>
            </w:r>
            <w:r>
              <w:rPr>
                <w:rStyle w:val="17"/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Style w:val="29"/>
                <w:rFonts w:ascii="Times New Roman" w:hAnsi="Times New Roman"/>
                <w:color w:val="auto"/>
                <w:sz w:val="21"/>
                <w:szCs w:val="21"/>
              </w:rPr>
              <w:t>&lt; 0.05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讨论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本研究对13例新型冠状病毒感染病例进行了实时荧光定量PCR检测。研究表明，实时荧光定量PCR (real-time PCR)是检测新型冠状病毒感染最准确、最有效的方法之一[3,8]。本研究中的大多数COVID-19患者(13例中的11例)要么曾去过湖北武汉，要么曾与2020年1月初从湖北返回的人有过接触。2例患者在此期间无疫区旅居史或接触史。武汉、湖北境外病例以二代人传人病例为主;从发病到确诊时间为3 ~ 11天(平均6.23±2.42天)，普通型与重型病例间差异无统计学意义。在武汉，新型冠状病毒可能存在大规模的第一代人传人传播，在大约1-2周的时间里，武汉也是其他城市的主要传播中心[9-12]。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研究结果表明，新型冠状病毒感染没有年龄、性别和严重程度的差异。然而，伴有高血压、糖尿病和/或脑梗死等疾病的患者更有可能发展为重症。另一项研究表明，老年人经历更快的疾病进展和死亡[13]。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中等程度的发热（38-39℃）、咳嗽、乏力以及厌食、恶心、呕吐、腹泻等胃肠道症状是新冠肺炎患者的常见症状。少数患者出现咳痰、呼吸困难、咽痛等症状，与既往报道相似[3,4]。然而，在我们的研究中，2例COVID-19轻度感染患者没有出现发热，这表明发热不是COVID-19的唯一临床特征，这与武汉的COVID-19患者不同[1,14]。不同分型的患者在发热程度、持续发热天数、咳嗽、咳痰、乏力等症状上有区别。血氧饱和度和氧合指数是评价COVID-19严重程度的敏感指标。重症病例早期血氧饱和度和氧合指数下降，而普通型病例多为正常[15]。</w:t>
      </w:r>
    </w:p>
    <w:p>
      <w:pPr>
        <w:spacing w:line="360" w:lineRule="auto"/>
        <w:ind w:firstLine="480"/>
        <w:rPr>
          <w:bCs/>
          <w:sz w:val="24"/>
        </w:rPr>
      </w:pPr>
    </w:p>
    <w:p>
      <w:pPr>
        <w:spacing w:line="360" w:lineRule="auto"/>
        <w:ind w:firstLine="480"/>
        <w:rPr>
          <w:bCs/>
          <w:sz w:val="24"/>
        </w:rPr>
      </w:pPr>
      <w:r>
        <w:drawing>
          <wp:inline distT="0" distB="0" distL="0" distR="0">
            <wp:extent cx="5274310" cy="4518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b/>
          <w:szCs w:val="21"/>
        </w:rPr>
      </w:pPr>
      <w:r>
        <w:rPr>
          <w:rFonts w:hint="eastAsia"/>
          <w:b/>
          <w:szCs w:val="21"/>
        </w:rPr>
        <w:t>图1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起始发病时：a重型病例，c重型病例；b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发病5天后重型病例胸部渗出范围增大，同时有新发渗出，d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发病5天后普通型病例肺部病变有吸收。</w:t>
      </w:r>
    </w:p>
    <w:p>
      <w:pPr>
        <w:spacing w:line="360" w:lineRule="auto"/>
        <w:ind w:firstLine="480"/>
        <w:rPr>
          <w:bCs/>
          <w:sz w:val="24"/>
        </w:rPr>
      </w:pP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CRP和SAA水平可能是检测COVID-19感染的有效指标。CRP和SAA在感染初期迅速升高；重症患者各项指标均高于轻症患者。而两组患者的白细胞、中性粒细胞、淋巴细胞和单核细胞在感染早期均无明显变化。PCT水平也没有变化。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本研究中，大多数COVID-19患者的胸部CT影像特征发生了显著变化。胸部CT对COVID-19的初步诊断具有重要意义[16]。对于临床高度怀疑新型冠状病毒感染但RT-PCR筛查阴性的患者，胸部CT可能有助于诊断[17]。典型的CT影像特征包括双肺毛玻璃密度、阴影或实变[18,19]。最近的一项研究报告称，COVID-19轻度感染患者的胸部CT扫描肺部异常在最初出现症状后约10天即可恢复[17]。在我们的研究中，大多数轻度COVID-19 (n = 5)胸部CT异常的患者在确诊感染后5天逐渐吸收;然而，大多数重症患者的症状会加重。1例轻症患者胸部CT无明显改变，此与武汉患者不同[20]。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结论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综上所述，本研究结果证实，我国武汉以外地区COVID-19患者主要是第二代人传人病例。新型冠状病毒肺炎的典型临床特征为中度发热、咳嗽、乏力、胃肠道症状。重症患者血氧饱和度、氧合指数改变明显。CRP和SAA水平是评估COVID-19严重程度的可靠生物标志物。胸部CT是检测新型冠状病毒感染的另一种有效方法。但少数无发热并且CT无改变的COVID-19患者需要结合其他筛查方法进行诊断。</w:t>
      </w:r>
    </w:p>
    <w:p>
      <w:pPr>
        <w:spacing w:line="360" w:lineRule="auto"/>
        <w:ind w:firstLine="480"/>
        <w:rPr>
          <w:rFonts w:eastAsiaTheme="minorEastAsia"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参考文献</w:t>
      </w:r>
    </w:p>
    <w:p>
      <w:pPr>
        <w:spacing w:line="360" w:lineRule="auto"/>
        <w:ind w:left="235" w:hanging="235" w:hangingChars="98"/>
        <w:rPr>
          <w:b/>
          <w:sz w:val="24"/>
        </w:rPr>
      </w:pPr>
      <w:r>
        <w:rPr>
          <w:sz w:val="24"/>
        </w:rPr>
        <w:t xml:space="preserve">[1] </w:t>
      </w:r>
      <w:r>
        <w:fldChar w:fldCharType="begin"/>
      </w:r>
      <w:r>
        <w:instrText xml:space="preserve"> HYPERLINK "https://pubmed.ncbi.nlm.nih.gov/?term=Huang+C&amp;cauthor_id=31986264"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Huang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C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"https://pubmed.ncbi.nlm.nih.gov/?term=Wang+Y&amp;cauthor_id=31986264"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"https://pubmed.ncbi.nlm.nih.gov/?term=Li+X&amp;cauthor_id=31986264"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Li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X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"https://pubmed.ncbi.nlm.nih.gov/?term=Ren+L&amp;cauthor_id=31986264"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Ren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L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"https://pubmed.ncbi.nlm.nih.gov/?term=Zhao+J&amp;cauthor_id=31986264"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Zhao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J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"https://pubmed.ncbi.nlm.nih.gov/?term=Hu+Y&amp;cauthor_id=31986264"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Hu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"https://pubmed.ncbi.nlm.nih.gov/?term=Zhang+L&amp;cauthor_id=31986264"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L</w:t>
      </w:r>
      <w:r>
        <w:rPr>
          <w:rStyle w:val="24"/>
          <w:sz w:val="24"/>
          <w:shd w:val="clear" w:color="auto" w:fill="FFFFFF"/>
        </w:rPr>
        <w:t>, </w:t>
      </w:r>
      <w:r>
        <w:rPr>
          <w:sz w:val="24"/>
        </w:rPr>
        <w:t>et al.</w:t>
      </w:r>
      <w:r>
        <w:rPr>
          <w:rFonts w:hint="eastAsia"/>
          <w:sz w:val="24"/>
        </w:rPr>
        <w:t xml:space="preserve"> </w:t>
      </w:r>
      <w:r>
        <w:rPr>
          <w:sz w:val="24"/>
        </w:rPr>
        <w:t>Clinical features of patients infected with</w:t>
      </w:r>
      <w:r>
        <w:rPr>
          <w:rFonts w:hint="eastAsia"/>
          <w:sz w:val="24"/>
        </w:rPr>
        <w:t xml:space="preserve"> </w:t>
      </w:r>
      <w:r>
        <w:rPr>
          <w:sz w:val="24"/>
        </w:rPr>
        <w:t>2019 novel coronavirus in Wuhan, China. Lancet, 2020;395(10223):497-506.</w:t>
      </w:r>
    </w:p>
    <w:p>
      <w:pPr>
        <w:spacing w:line="360" w:lineRule="auto"/>
        <w:ind w:left="240" w:hanging="240" w:hangingChars="100"/>
        <w:rPr>
          <w:b/>
          <w:sz w:val="24"/>
        </w:rPr>
      </w:pPr>
      <w:r>
        <w:rPr>
          <w:sz w:val="24"/>
        </w:rPr>
        <w:t xml:space="preserve">[2] </w:t>
      </w:r>
      <w:r>
        <w:fldChar w:fldCharType="begin"/>
      </w:r>
      <w:r>
        <w:instrText xml:space="preserve"> HYPERLINK "https://pubmed.ncbi.nlm.nih.gov/?term=Li+Q&amp;cauthor_id=31995857"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Li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Q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"https://pubmed.ncbi.nlm.nih.gov/?term=Guan+X&amp;cauthor_id=31995857"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Guan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X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"https://pubmed.ncbi.nlm.nih.gov/?term=Wu+P&amp;cauthor_id=31995857"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P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"https://pubmed.ncbi.nlm.nih.gov/?term=Wang+X&amp;cauthor_id=31995857"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X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"https://pubmed.ncbi.nlm.nih.gov/?term=Zhou+L&amp;cauthor_id=31995857"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Zhou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L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"https://pubmed.ncbi.nlm.nih.gov/?term=Tong+Y&amp;cauthor_id=31995857"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Tong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"https://pubmed.ncbi.nlm.nih.gov/?term=Ren+R&amp;cauthor_id=31995857"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Ren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R</w:t>
      </w:r>
      <w:r>
        <w:rPr>
          <w:rStyle w:val="24"/>
          <w:sz w:val="24"/>
          <w:shd w:val="clear" w:color="auto" w:fill="FFFFFF"/>
        </w:rPr>
        <w:t>, </w:t>
      </w:r>
      <w:r>
        <w:rPr>
          <w:sz w:val="24"/>
        </w:rPr>
        <w:t>et al</w:t>
      </w:r>
      <w:r>
        <w:rPr>
          <w:rStyle w:val="22"/>
          <w:sz w:val="24"/>
          <w:shd w:val="clear" w:color="auto" w:fill="FFFFFF"/>
        </w:rPr>
        <w:t>.</w:t>
      </w:r>
      <w:r>
        <w:rPr>
          <w:sz w:val="24"/>
        </w:rPr>
        <w:t xml:space="preserve"> Early transmission dynamics</w:t>
      </w:r>
      <w:r>
        <w:rPr>
          <w:rFonts w:hint="eastAsia"/>
          <w:sz w:val="24"/>
        </w:rPr>
        <w:t xml:space="preserve"> </w:t>
      </w:r>
      <w:r>
        <w:rPr>
          <w:sz w:val="24"/>
        </w:rPr>
        <w:t>in Wuhan, China, of novel coronavirus-infected pneumonia. N Engl J</w:t>
      </w:r>
      <w:r>
        <w:rPr>
          <w:rFonts w:hint="eastAsia"/>
          <w:sz w:val="24"/>
        </w:rPr>
        <w:t xml:space="preserve"> </w:t>
      </w:r>
      <w:r>
        <w:rPr>
          <w:sz w:val="24"/>
        </w:rPr>
        <w:t>Med, 2020;382(13):1199-1207.</w:t>
      </w:r>
    </w:p>
    <w:p>
      <w:pPr>
        <w:shd w:val="clear" w:color="auto" w:fill="FFFFFF"/>
        <w:spacing w:line="360" w:lineRule="auto"/>
        <w:ind w:left="240" w:hanging="240" w:hangingChars="100"/>
        <w:rPr>
          <w:b/>
          <w:sz w:val="24"/>
        </w:rPr>
      </w:pPr>
      <w:r>
        <w:rPr>
          <w:rFonts w:hint="eastAsia"/>
          <w:sz w:val="24"/>
        </w:rPr>
        <w:t>[3]</w:t>
      </w:r>
      <w:r>
        <w:rPr>
          <w:sz w:val="24"/>
        </w:rPr>
        <w:t xml:space="preserve"> </w:t>
      </w:r>
      <w:r>
        <w:fldChar w:fldCharType="begin"/>
      </w:r>
      <w:r>
        <w:instrText xml:space="preserve"> HYPERLINK "https://pubmed.ncbi.nlm.nih.gov/?term=Liu+Y&amp;cauthor_id=32048163"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Liu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"https://pubmed.ncbi.nlm.nih.gov/?term=Yang+Y&amp;cauthor_id=32048163"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Yang Y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"https://pubmed.ncbi.nlm.nih.gov/?term=Zhang+C&amp;cauthor_id=32048163"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C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"https://pubmed.ncbi.nlm.nih.gov/?term=Huang+F&amp;cauthor_id=32048163"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Huang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F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"https://pubmed.ncbi.nlm.nih.gov/?term=Wang+F&amp;cauthor_id=32048163"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F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"https://pubmed.ncbi.nlm.nih.gov/?term=Yuan+J&amp;cauthor_id=32048163"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Yuan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J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"https://pubmed.ncbi.nlm.nih.gov/?term=Wang+Z&amp;cauthor_id=32048163"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Z</w:t>
      </w:r>
      <w:r>
        <w:rPr>
          <w:rStyle w:val="24"/>
          <w:sz w:val="24"/>
          <w:shd w:val="clear" w:color="auto" w:fill="FFFFFF"/>
        </w:rPr>
        <w:t>, </w:t>
      </w:r>
      <w:r>
        <w:rPr>
          <w:sz w:val="24"/>
        </w:rPr>
        <w:t>et al</w:t>
      </w:r>
      <w:r>
        <w:rPr>
          <w:rStyle w:val="22"/>
          <w:sz w:val="24"/>
          <w:shd w:val="clear" w:color="auto" w:fill="FFFFFF"/>
        </w:rPr>
        <w:t xml:space="preserve">. </w:t>
      </w:r>
      <w:r>
        <w:rPr>
          <w:bCs/>
          <w:sz w:val="24"/>
        </w:rPr>
        <w:t>Clinical and biochemical indexes from 2019-nCoV infected patients linked to viral loads and lung injury.</w:t>
      </w:r>
      <w:r>
        <w:rPr>
          <w:sz w:val="24"/>
        </w:rPr>
        <w:t xml:space="preserve"> </w:t>
      </w:r>
      <w:r>
        <w:rPr>
          <w:kern w:val="0"/>
          <w:sz w:val="24"/>
        </w:rPr>
        <w:t>Sci China Life Sci, 2020;63(3):364-374.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[4]</w:t>
      </w:r>
      <w:r>
        <w:rPr>
          <w:sz w:val="24"/>
        </w:rPr>
        <w:t xml:space="preserve"> </w:t>
      </w:r>
      <w:r>
        <w:fldChar w:fldCharType="begin"/>
      </w:r>
      <w:r>
        <w:instrText xml:space="preserve"> HYPERLINK "https://pubmed.ncbi.nlm.nih.gov/?term=Zhu+N&amp;cauthor_id=31978945"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N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"https://pubmed.ncbi.nlm.nih.gov/?term=Zhang+D&amp;cauthor_id=31978945"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D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"https://pubmed.ncbi.nlm.nih.gov/?term=Wang+W&amp;cauthor_id=31978945"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W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"https://pubmed.ncbi.nlm.nih.gov/?term=Li+X&amp;cauthor_id=31978945"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Li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X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"https://pubmed.ncbi.nlm.nih.gov/?term=Yang+B&amp;cauthor_id=31978945"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Yang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B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"https://pubmed.ncbi.nlm.nih.gov/?term=Song+J&amp;cauthor_id=31978945"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Song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J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"https://pubmed.ncbi.nlm.nih.gov/?term=Zhao+X&amp;cauthor_id=31978945"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Zhao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X</w:t>
      </w:r>
      <w:r>
        <w:rPr>
          <w:rStyle w:val="24"/>
          <w:sz w:val="24"/>
          <w:shd w:val="clear" w:color="auto" w:fill="FFFFFF"/>
        </w:rPr>
        <w:t>, </w:t>
      </w:r>
      <w:r>
        <w:rPr>
          <w:sz w:val="24"/>
        </w:rPr>
        <w:t xml:space="preserve">et al. A </w:t>
      </w:r>
      <w:r>
        <w:rPr>
          <w:rFonts w:hint="eastAsia"/>
          <w:sz w:val="24"/>
        </w:rPr>
        <w:t>n</w:t>
      </w:r>
      <w:r>
        <w:rPr>
          <w:sz w:val="24"/>
        </w:rPr>
        <w:t xml:space="preserve">ovel </w:t>
      </w:r>
      <w:r>
        <w:rPr>
          <w:rFonts w:hint="eastAsia"/>
          <w:sz w:val="24"/>
        </w:rPr>
        <w:t>c</w:t>
      </w:r>
      <w:r>
        <w:rPr>
          <w:sz w:val="24"/>
        </w:rPr>
        <w:t xml:space="preserve">oronavirus from </w:t>
      </w:r>
      <w:r>
        <w:rPr>
          <w:rFonts w:hint="eastAsia"/>
          <w:sz w:val="24"/>
        </w:rPr>
        <w:t>p</w:t>
      </w:r>
      <w:r>
        <w:rPr>
          <w:sz w:val="24"/>
        </w:rPr>
        <w:t xml:space="preserve">atients with </w:t>
      </w:r>
      <w:r>
        <w:rPr>
          <w:rFonts w:hint="eastAsia"/>
          <w:sz w:val="24"/>
        </w:rPr>
        <w:t>p</w:t>
      </w:r>
      <w:r>
        <w:rPr>
          <w:sz w:val="24"/>
        </w:rPr>
        <w:t xml:space="preserve">neumonia in China, 2019. N Engl J Med, 2020;382(8):727-733. </w:t>
      </w:r>
    </w:p>
    <w:p>
      <w:pPr>
        <w:spacing w:line="360" w:lineRule="auto"/>
        <w:ind w:left="240" w:hanging="240" w:hangingChars="100"/>
        <w:rPr>
          <w:b/>
          <w:sz w:val="24"/>
        </w:rPr>
      </w:pPr>
      <w:r>
        <w:rPr>
          <w:sz w:val="24"/>
        </w:rPr>
        <w:t xml:space="preserve">[5] </w:t>
      </w:r>
      <w:r>
        <w:fldChar w:fldCharType="begin"/>
      </w:r>
      <w:r>
        <w:instrText xml:space="preserve"> HYPERLINK "https://pubmed.ncbi.nlm.nih.gov/?term=Jiang+Y&amp;cauthor_id=15657466"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Jiang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"https://pubmed.ncbi.nlm.nih.gov/?term=Xu+J&amp;cauthor_id=15657466"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Xu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J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"https://pubmed.ncbi.nlm.nih.gov/?term=Zhou+C&amp;cauthor_id=15657466"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Zhou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C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"https://pubmed.ncbi.nlm.nih.gov/?term=Wu+Z&amp;cauthor_id=15657466"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Z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"https://pubmed.ncbi.nlm.nih.gov/?term=Zhong+S&amp;cauthor_id=15657466"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Zhong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S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"https://pubmed.ncbi.nlm.nih.gov/?term=Liu+J&amp;cauthor_id=15657466"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Liu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J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"https://pubmed.ncbi.nlm.nih.gov/?term=Luo+W&amp;cauthor_id=15657466"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Luo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W</w:t>
      </w:r>
      <w:r>
        <w:rPr>
          <w:rStyle w:val="24"/>
          <w:sz w:val="24"/>
          <w:shd w:val="clear" w:color="auto" w:fill="FFFFFF"/>
        </w:rPr>
        <w:t xml:space="preserve">, </w:t>
      </w:r>
      <w:r>
        <w:rPr>
          <w:sz w:val="24"/>
        </w:rPr>
        <w:t xml:space="preserve">et al. Characterization of </w:t>
      </w:r>
      <w:r>
        <w:rPr>
          <w:rFonts w:hint="eastAsia"/>
          <w:sz w:val="24"/>
        </w:rPr>
        <w:t>c</w:t>
      </w:r>
      <w:r>
        <w:rPr>
          <w:sz w:val="24"/>
        </w:rPr>
        <w:t>ytokine/</w:t>
      </w:r>
      <w:r>
        <w:rPr>
          <w:rFonts w:hint="eastAsia"/>
          <w:sz w:val="24"/>
        </w:rPr>
        <w:t xml:space="preserve"> c</w:t>
      </w:r>
      <w:r>
        <w:rPr>
          <w:sz w:val="24"/>
        </w:rPr>
        <w:t>hemokine</w:t>
      </w:r>
      <w:r>
        <w:rPr>
          <w:rFonts w:hint="eastAsia"/>
          <w:sz w:val="24"/>
        </w:rPr>
        <w:t xml:space="preserve"> </w:t>
      </w:r>
      <w:r>
        <w:rPr>
          <w:sz w:val="24"/>
        </w:rPr>
        <w:t>profiles of severe acute respiratory syndrome. Am J Respir Crit Care Med. 2005; 171(8):850-857.</w:t>
      </w:r>
    </w:p>
    <w:p>
      <w:pPr>
        <w:spacing w:line="360" w:lineRule="auto"/>
        <w:ind w:left="240" w:hanging="240" w:hangingChars="100"/>
        <w:rPr>
          <w:b/>
          <w:sz w:val="24"/>
        </w:rPr>
      </w:pPr>
      <w:r>
        <w:rPr>
          <w:sz w:val="24"/>
        </w:rPr>
        <w:t xml:space="preserve">[6] </w:t>
      </w:r>
      <w:r>
        <w:fldChar w:fldCharType="begin"/>
      </w:r>
      <w:r>
        <w:instrText xml:space="preserve"> HYPERLINK "https://pubmed.ncbi.nlm.nih.gov/?term=Niu+P&amp;cauthor_id=30091015"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Niu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P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"https://pubmed.ncbi.nlm.nih.gov/?term=Zhao+G&amp;cauthor_id=30091015"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Zhao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G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"https://pubmed.ncbi.nlm.nih.gov/?term=Deng+Y&amp;cauthor_id=30091015"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Deng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"https://pubmed.ncbi.nlm.nih.gov/?term=Sun+S&amp;cauthor_id=30091015"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Sun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S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"https://pubmed.ncbi.nlm.nih.gov/?term=Wang+W&amp;cauthor_id=30091015"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Wang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W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"https://pubmed.ncbi.nlm.nih.gov/?term=Zhou+Y&amp;cauthor_id=30091015"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Zhou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Y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"https://pubmed.ncbi.nlm.nih.gov/?term=Tan+W&amp;cauthor_id=30091015"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Tan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W</w:t>
      </w:r>
      <w:r>
        <w:rPr>
          <w:sz w:val="24"/>
        </w:rPr>
        <w:t>. A novel human mAb (MERS-GD27) provides prophylactic and</w:t>
      </w:r>
      <w:r>
        <w:rPr>
          <w:rFonts w:hint="eastAsia"/>
          <w:sz w:val="24"/>
        </w:rPr>
        <w:t xml:space="preserve"> </w:t>
      </w:r>
      <w:r>
        <w:rPr>
          <w:sz w:val="24"/>
        </w:rPr>
        <w:t>postexposure efficacy in MERS-CoV susceptible mice. Sci China Life</w:t>
      </w:r>
      <w:r>
        <w:rPr>
          <w:rFonts w:hint="eastAsia"/>
          <w:sz w:val="24"/>
        </w:rPr>
        <w:t xml:space="preserve"> </w:t>
      </w:r>
      <w:r>
        <w:rPr>
          <w:sz w:val="24"/>
        </w:rPr>
        <w:t>Sci. 2018;61(10):1280-1282.</w:t>
      </w:r>
    </w:p>
    <w:p>
      <w:pPr>
        <w:pStyle w:val="16"/>
        <w:ind w:left="360" w:hanging="360" w:hangingChars="15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>
        <w:rPr>
          <w:rFonts w:hint="eastAsia"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] National Health Commssion of the People’s Republic of China, 2020. Precept on diagnosis and treatment of novel coronavirus pneeumoia (The fifth version; Revision version). Available from: &lt;http://www.nhc.gov.cn/yzygj/s7653p/202002/d4b895337e19445f8d728fcaf1e3e13a.shtml&gt;</w:t>
      </w:r>
      <w:r>
        <w:rPr>
          <w:rFonts w:hint="eastAsia" w:ascii="Times New Roman" w:hAnsi="Times New Roman" w:cs="Times New Roman"/>
          <w:b w:val="0"/>
          <w:sz w:val="24"/>
          <w:szCs w:val="24"/>
        </w:rPr>
        <w:t>.</w:t>
      </w:r>
    </w:p>
    <w:p>
      <w:pPr>
        <w:shd w:val="clear" w:color="auto" w:fill="FFFFFF"/>
        <w:spacing w:line="360" w:lineRule="auto"/>
        <w:ind w:left="240" w:hanging="240" w:hangingChars="100"/>
        <w:rPr>
          <w:b/>
          <w:sz w:val="24"/>
        </w:rPr>
      </w:pPr>
      <w:r>
        <w:rPr>
          <w:rFonts w:hint="eastAsia"/>
          <w:sz w:val="24"/>
        </w:rPr>
        <w:t>[8]</w:t>
      </w:r>
      <w:r>
        <w:rPr>
          <w:sz w:val="24"/>
        </w:rPr>
        <w:t xml:space="preserve"> </w:t>
      </w:r>
      <w:r>
        <w:fldChar w:fldCharType="begin"/>
      </w:r>
      <w:r>
        <w:instrText xml:space="preserve"> HYPERLINK "https://pubmed.ncbi.nlm.nih.gov/?term=Corman+VM&amp;cauthor_id=31992387"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Corman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VM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"https://pubmed.ncbi.nlm.nih.gov/?term=Landt+O&amp;cauthor_id=31992387"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Landt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O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"https://pubmed.ncbi.nlm.nih.gov/?term=Kaiser+M&amp;cauthor_id=31992387"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Kaiser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M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"https://pubmed.ncbi.nlm.nih.gov/?term=Molenkamp+R&amp;cauthor_id=31992387"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Molenkamp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R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"https://pubmed.ncbi.nlm.nih.gov/?term=Meijer+A&amp;cauthor_id=31992387"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Meijer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A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"https://pubmed.ncbi.nlm.nih.gov/?term=Chu+DK&amp;cauthor_id=31992387"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Chu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DK</w:t>
      </w:r>
      <w:r>
        <w:rPr>
          <w:rStyle w:val="24"/>
          <w:sz w:val="24"/>
          <w:shd w:val="clear" w:color="auto" w:fill="FFFFFF"/>
        </w:rPr>
        <w:t>, </w:t>
      </w:r>
      <w:r>
        <w:fldChar w:fldCharType="begin"/>
      </w:r>
      <w:r>
        <w:instrText xml:space="preserve"> HYPERLINK "https://pubmed.ncbi.nlm.nih.gov/?term=Bleicker+T&amp;cauthor_id=31992387" </w:instrText>
      </w:r>
      <w:r>
        <w:fldChar w:fldCharType="separate"/>
      </w:r>
      <w:r>
        <w:rPr>
          <w:rStyle w:val="13"/>
          <w:color w:val="auto"/>
          <w:sz w:val="24"/>
          <w:u w:val="none"/>
        </w:rPr>
        <w:t>Bleicker</w:t>
      </w:r>
      <w:r>
        <w:rPr>
          <w:rStyle w:val="13"/>
          <w:color w:val="auto"/>
          <w:sz w:val="24"/>
          <w:u w:val="none"/>
        </w:rPr>
        <w:fldChar w:fldCharType="end"/>
      </w:r>
      <w:r>
        <w:rPr>
          <w:rStyle w:val="13"/>
          <w:color w:val="auto"/>
          <w:sz w:val="24"/>
          <w:u w:val="none"/>
        </w:rPr>
        <w:t xml:space="preserve"> T</w:t>
      </w:r>
      <w:r>
        <w:rPr>
          <w:rStyle w:val="24"/>
          <w:sz w:val="24"/>
          <w:shd w:val="clear" w:color="auto" w:fill="FFFFFF"/>
        </w:rPr>
        <w:t>, </w:t>
      </w:r>
      <w:r>
        <w:rPr>
          <w:sz w:val="24"/>
        </w:rPr>
        <w:t>et al</w:t>
      </w:r>
      <w:r>
        <w:rPr>
          <w:rStyle w:val="22"/>
          <w:rFonts w:hint="eastAsia"/>
          <w:sz w:val="24"/>
          <w:shd w:val="clear" w:color="auto" w:fill="FFFFFF"/>
        </w:rPr>
        <w:t>.</w:t>
      </w:r>
      <w:r>
        <w:rPr>
          <w:sz w:val="24"/>
        </w:rPr>
        <w:t xml:space="preserve"> Detection of 2019 novel coronavirus (2019-nCoV) by real-time RT-PCR. </w:t>
      </w:r>
      <w:r>
        <w:rPr>
          <w:kern w:val="0"/>
          <w:sz w:val="24"/>
        </w:rPr>
        <w:t>Euro Surveill, 2020; 25 (3):1-8.</w:t>
      </w:r>
    </w:p>
    <w:p>
      <w:pPr>
        <w:shd w:val="clear" w:color="auto" w:fill="FFFFFF"/>
        <w:spacing w:line="360" w:lineRule="auto"/>
        <w:ind w:left="240" w:hanging="240" w:hangingChars="100"/>
        <w:rPr>
          <w:kern w:val="0"/>
          <w:sz w:val="24"/>
        </w:rPr>
      </w:pPr>
      <w:r>
        <w:rPr>
          <w:rFonts w:hint="eastAsia"/>
          <w:sz w:val="24"/>
        </w:rPr>
        <w:t>[9]</w:t>
      </w:r>
      <w:r>
        <w:rPr>
          <w:sz w:val="24"/>
        </w:rPr>
        <w:t xml:space="preserve"> Li X, Zai J, Wang X, Li Y. Potential of large ‘first generation’ human-to-human transmission of 2019-nCoV. </w:t>
      </w:r>
      <w:r>
        <w:rPr>
          <w:kern w:val="0"/>
          <w:sz w:val="24"/>
        </w:rPr>
        <w:t>J Med Virol</w:t>
      </w:r>
      <w:r>
        <w:rPr>
          <w:rFonts w:hint="eastAsia"/>
          <w:kern w:val="0"/>
          <w:sz w:val="24"/>
        </w:rPr>
        <w:t>,</w:t>
      </w:r>
      <w:r>
        <w:rPr>
          <w:kern w:val="0"/>
          <w:sz w:val="24"/>
        </w:rPr>
        <w:t xml:space="preserve"> 2020;92(4):448-454.</w:t>
      </w:r>
    </w:p>
    <w:p>
      <w:pPr>
        <w:shd w:val="clear" w:color="auto" w:fill="FFFFFF"/>
        <w:spacing w:line="360" w:lineRule="auto"/>
        <w:ind w:left="240" w:hanging="240" w:hangingChars="100"/>
        <w:rPr>
          <w:sz w:val="24"/>
        </w:rPr>
      </w:pPr>
      <w:r>
        <w:rPr>
          <w:sz w:val="24"/>
        </w:rPr>
        <w:t>[10]</w:t>
      </w:r>
      <w:r>
        <w:rPr>
          <w:b/>
          <w:bCs/>
          <w:sz w:val="24"/>
        </w:rPr>
        <w:t xml:space="preserve"> </w:t>
      </w:r>
      <w:r>
        <w:rPr>
          <w:sz w:val="24"/>
        </w:rPr>
        <w:t>Joseph TW, Kathy L, Gabriel ML. Nowcasting and forecasting the potential domestic and international spread of the 2019-nCoV outbreak originating in Wuhan, China: a modelling study. Lancet. 2020;395(10225):689–97.</w:t>
      </w:r>
    </w:p>
    <w:p>
      <w:pPr>
        <w:shd w:val="clear" w:color="auto" w:fill="FFFFFF"/>
        <w:spacing w:line="360" w:lineRule="auto"/>
        <w:ind w:left="240" w:hanging="240" w:hangingChars="100"/>
        <w:rPr>
          <w:kern w:val="0"/>
          <w:sz w:val="24"/>
        </w:rPr>
      </w:pPr>
      <w:r>
        <w:rPr>
          <w:sz w:val="24"/>
        </w:rPr>
        <w:t xml:space="preserve">[11] Zhao S, Lin Q, Ran J, Musa SS, Yang G, Wang W, Lou Y, et al. Preliminary estimation of the basic reproduction number of novel coronavirus (2019-nCoV) in China, from 2019 to 2020: A data-driven analysis in the early phase of the outbreak. </w:t>
      </w:r>
      <w:r>
        <w:rPr>
          <w:kern w:val="0"/>
          <w:sz w:val="24"/>
        </w:rPr>
        <w:t>Int J Infect Dis,</w:t>
      </w:r>
      <w:r>
        <w:rPr>
          <w:kern w:val="0"/>
          <w:sz w:val="24"/>
          <w:shd w:val="clear" w:color="auto" w:fill="FFFFFF"/>
        </w:rPr>
        <w:t> </w:t>
      </w:r>
      <w:r>
        <w:rPr>
          <w:kern w:val="0"/>
          <w:sz w:val="24"/>
        </w:rPr>
        <w:t>2020;92:214-217.</w:t>
      </w:r>
    </w:p>
    <w:p>
      <w:pPr>
        <w:shd w:val="clear" w:color="auto" w:fill="FFFFFF"/>
        <w:spacing w:line="360" w:lineRule="auto"/>
        <w:ind w:left="240" w:hanging="240" w:hangingChars="100"/>
        <w:rPr>
          <w:kern w:val="0"/>
          <w:sz w:val="24"/>
        </w:rPr>
      </w:pPr>
      <w:r>
        <w:rPr>
          <w:kern w:val="0"/>
          <w:sz w:val="24"/>
        </w:rPr>
        <w:t xml:space="preserve">[12] </w:t>
      </w:r>
      <w:r>
        <w:rPr>
          <w:rStyle w:val="22"/>
          <w:sz w:val="24"/>
        </w:rPr>
        <w:t>Zhou T</w:t>
      </w:r>
      <w:r>
        <w:rPr>
          <w:rStyle w:val="22"/>
          <w:rFonts w:hint="eastAsia"/>
          <w:sz w:val="24"/>
        </w:rPr>
        <w:t>,</w:t>
      </w:r>
      <w:r>
        <w:rPr>
          <w:rStyle w:val="24"/>
          <w:sz w:val="24"/>
          <w:shd w:val="clear" w:color="auto" w:fill="FFFFFF"/>
        </w:rPr>
        <w:t> </w:t>
      </w:r>
      <w:r>
        <w:rPr>
          <w:rStyle w:val="22"/>
          <w:sz w:val="24"/>
        </w:rPr>
        <w:t>Liu Q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Yang Z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Liao J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 xml:space="preserve"> Yang K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 xml:space="preserve"> Bai W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 xml:space="preserve"> Lu X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et al.</w:t>
      </w:r>
      <w:r>
        <w:rPr>
          <w:rStyle w:val="23"/>
          <w:sz w:val="24"/>
          <w:shd w:val="clear" w:color="auto" w:fill="FFFFFF"/>
          <w:vertAlign w:val="superscript"/>
        </w:rPr>
        <w:t> </w:t>
      </w:r>
      <w:r>
        <w:rPr>
          <w:bCs/>
          <w:sz w:val="24"/>
        </w:rPr>
        <w:t>Preliminary prediction of the basic reproduction number of the Wuhan novel coronavirus 2019-nCoV.</w:t>
      </w:r>
      <w:r>
        <w:rPr>
          <w:sz w:val="24"/>
        </w:rPr>
        <w:t xml:space="preserve"> </w:t>
      </w:r>
      <w:r>
        <w:rPr>
          <w:kern w:val="0"/>
          <w:sz w:val="24"/>
        </w:rPr>
        <w:t>J Evid Based Med, 2020;13(1):3-7.</w:t>
      </w:r>
    </w:p>
    <w:p>
      <w:pPr>
        <w:shd w:val="clear" w:color="auto" w:fill="FFFFFF"/>
        <w:spacing w:line="360" w:lineRule="auto"/>
        <w:ind w:left="240" w:hanging="240" w:hangingChars="100"/>
        <w:rPr>
          <w:kern w:val="0"/>
          <w:sz w:val="24"/>
        </w:rPr>
      </w:pPr>
      <w:r>
        <w:rPr>
          <w:kern w:val="0"/>
          <w:sz w:val="24"/>
        </w:rPr>
        <w:t>[1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] </w:t>
      </w:r>
      <w:r>
        <w:rPr>
          <w:rStyle w:val="22"/>
          <w:sz w:val="24"/>
        </w:rPr>
        <w:t>Wang W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Tang J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Wei F</w:t>
      </w:r>
      <w:r>
        <w:rPr>
          <w:sz w:val="24"/>
        </w:rPr>
        <w:t xml:space="preserve">. Updated understanding of the outbreak of 2019 novel coronavirus (2019-nCoV) in Wuhan, China. </w:t>
      </w:r>
      <w:r>
        <w:rPr>
          <w:kern w:val="0"/>
          <w:sz w:val="24"/>
        </w:rPr>
        <w:t>J Med Virol.</w:t>
      </w:r>
      <w:r>
        <w:rPr>
          <w:kern w:val="0"/>
          <w:sz w:val="24"/>
          <w:shd w:val="clear" w:color="auto" w:fill="FFFFFF"/>
        </w:rPr>
        <w:t> </w:t>
      </w:r>
      <w:r>
        <w:rPr>
          <w:kern w:val="0"/>
          <w:sz w:val="24"/>
        </w:rPr>
        <w:t>2020;92(4):441-447.</w:t>
      </w:r>
    </w:p>
    <w:p>
      <w:pPr>
        <w:shd w:val="clear" w:color="auto" w:fill="FFFFFF"/>
        <w:spacing w:line="360" w:lineRule="auto"/>
        <w:ind w:left="240" w:hanging="240" w:hangingChars="100"/>
        <w:rPr>
          <w:kern w:val="0"/>
          <w:sz w:val="24"/>
        </w:rPr>
      </w:pPr>
      <w:r>
        <w:rPr>
          <w:rStyle w:val="17"/>
          <w:color w:val="auto"/>
          <w:kern w:val="0"/>
          <w:sz w:val="24"/>
        </w:rPr>
        <w:t>[</w:t>
      </w:r>
      <w:r>
        <w:rPr>
          <w:rStyle w:val="17"/>
          <w:rFonts w:hint="eastAsia"/>
          <w:color w:val="auto"/>
          <w:kern w:val="0"/>
          <w:sz w:val="24"/>
        </w:rPr>
        <w:t>14</w:t>
      </w:r>
      <w:r>
        <w:rPr>
          <w:rStyle w:val="17"/>
          <w:color w:val="auto"/>
          <w:kern w:val="0"/>
          <w:sz w:val="24"/>
        </w:rPr>
        <w:t xml:space="preserve">] </w:t>
      </w:r>
      <w:r>
        <w:rPr>
          <w:iCs/>
          <w:sz w:val="24"/>
        </w:rPr>
        <w:t>Chen NS, Zhou M, Dong X, Qu J, Gong F, Han Y, Qiu Y, et al.</w:t>
      </w:r>
      <w:r>
        <w:rPr>
          <w:rStyle w:val="25"/>
          <w:sz w:val="24"/>
        </w:rPr>
        <w:t xml:space="preserve"> </w:t>
      </w:r>
      <w:r>
        <w:rPr>
          <w:bCs/>
          <w:sz w:val="24"/>
        </w:rPr>
        <w:t>Epidemiological and clinical characteristics of 99 cases of 2019 novel coronavirus pneumonia in Wuhan, China: a descriptive study.</w:t>
      </w:r>
      <w:r>
        <w:rPr>
          <w:sz w:val="24"/>
        </w:rPr>
        <w:t xml:space="preserve"> </w:t>
      </w:r>
      <w:r>
        <w:rPr>
          <w:kern w:val="0"/>
          <w:sz w:val="24"/>
        </w:rPr>
        <w:t>Lancet</w:t>
      </w:r>
      <w:r>
        <w:rPr>
          <w:rFonts w:hint="eastAsia"/>
          <w:kern w:val="0"/>
          <w:sz w:val="24"/>
        </w:rPr>
        <w:t xml:space="preserve">, </w:t>
      </w:r>
      <w:r>
        <w:rPr>
          <w:kern w:val="0"/>
          <w:sz w:val="24"/>
        </w:rPr>
        <w:t>2020;395(10223):507-513.</w:t>
      </w:r>
    </w:p>
    <w:p>
      <w:pPr>
        <w:shd w:val="clear" w:color="auto" w:fill="FFFFFF"/>
        <w:spacing w:line="360" w:lineRule="auto"/>
        <w:ind w:left="240" w:hanging="240" w:hangingChars="100"/>
        <w:rPr>
          <w:b/>
          <w:sz w:val="24"/>
        </w:rPr>
      </w:pPr>
      <w:r>
        <w:rPr>
          <w:sz w:val="24"/>
        </w:rPr>
        <w:t>[1</w:t>
      </w:r>
      <w:r>
        <w:rPr>
          <w:rFonts w:hint="eastAsia"/>
          <w:sz w:val="24"/>
        </w:rPr>
        <w:t>5</w:t>
      </w:r>
      <w:r>
        <w:rPr>
          <w:sz w:val="24"/>
        </w:rPr>
        <w:t>] Jin YH, Cai L, Cheng ZS, Cheng H, Deng T, Fan YP, Fang C, et al. A rapid advice guideline for the diagnosis</w:t>
      </w:r>
      <w:r>
        <w:rPr>
          <w:rFonts w:hint="eastAsia"/>
          <w:sz w:val="24"/>
        </w:rPr>
        <w:t xml:space="preserve"> </w:t>
      </w:r>
      <w:r>
        <w:rPr>
          <w:sz w:val="24"/>
        </w:rPr>
        <w:t>and treatment of 2019 novel coronavirus</w:t>
      </w:r>
      <w:r>
        <w:rPr>
          <w:rFonts w:hint="eastAsia"/>
          <w:sz w:val="24"/>
        </w:rPr>
        <w:t xml:space="preserve"> </w:t>
      </w:r>
      <w:r>
        <w:rPr>
          <w:sz w:val="24"/>
        </w:rPr>
        <w:t>(2019-nCoV) infected pneumonia (standard</w:t>
      </w:r>
      <w:r>
        <w:rPr>
          <w:rFonts w:hint="eastAsia"/>
          <w:sz w:val="24"/>
        </w:rPr>
        <w:t xml:space="preserve"> </w:t>
      </w:r>
      <w:r>
        <w:rPr>
          <w:sz w:val="24"/>
        </w:rPr>
        <w:t>version). Mil</w:t>
      </w:r>
      <w:r>
        <w:rPr>
          <w:rFonts w:hint="eastAsia"/>
          <w:sz w:val="24"/>
        </w:rPr>
        <w:t xml:space="preserve"> </w:t>
      </w:r>
      <w:r>
        <w:rPr>
          <w:sz w:val="24"/>
        </w:rPr>
        <w:t>Med</w:t>
      </w:r>
      <w:r>
        <w:rPr>
          <w:rFonts w:hint="eastAsia"/>
          <w:sz w:val="24"/>
        </w:rPr>
        <w:t xml:space="preserve"> </w:t>
      </w:r>
      <w:r>
        <w:rPr>
          <w:sz w:val="24"/>
        </w:rPr>
        <w:t>Res. 2020; 7(1):4.</w:t>
      </w:r>
    </w:p>
    <w:p>
      <w:pPr>
        <w:shd w:val="clear" w:color="auto" w:fill="FFFFFF"/>
        <w:spacing w:line="360" w:lineRule="auto"/>
        <w:ind w:left="360" w:hanging="360" w:hangingChars="150"/>
        <w:rPr>
          <w:sz w:val="24"/>
          <w:shd w:val="clear" w:color="auto" w:fill="FFFFFF"/>
        </w:rPr>
      </w:pPr>
      <w:r>
        <w:rPr>
          <w:sz w:val="24"/>
        </w:rPr>
        <w:t>[1</w:t>
      </w:r>
      <w:r>
        <w:rPr>
          <w:rFonts w:hint="eastAsia"/>
          <w:sz w:val="24"/>
        </w:rPr>
        <w:t>6</w:t>
      </w:r>
      <w:r>
        <w:rPr>
          <w:sz w:val="24"/>
        </w:rPr>
        <w:t xml:space="preserve">] Pan Y, Guan H. </w:t>
      </w:r>
      <w:r>
        <w:rPr>
          <w:sz w:val="24"/>
          <w:shd w:val="clear" w:color="auto" w:fill="FFFFFF"/>
        </w:rPr>
        <w:t xml:space="preserve"> Imaging changes in patients with 2019-nCov. </w:t>
      </w:r>
      <w:r>
        <w:rPr>
          <w:iCs/>
          <w:sz w:val="24"/>
          <w:shd w:val="clear" w:color="auto" w:fill="FFFFFF"/>
        </w:rPr>
        <w:t>Eur Radiol</w:t>
      </w:r>
      <w:r>
        <w:rPr>
          <w:sz w:val="24"/>
          <w:shd w:val="clear" w:color="auto" w:fill="FFFFFF"/>
        </w:rPr>
        <w:t>. 2020;30(7):3612-3613.</w:t>
      </w:r>
    </w:p>
    <w:p>
      <w:pPr>
        <w:shd w:val="clear" w:color="auto" w:fill="FFFFFF"/>
        <w:spacing w:line="360" w:lineRule="auto"/>
        <w:ind w:left="360" w:hanging="360" w:hangingChars="150"/>
        <w:rPr>
          <w:rStyle w:val="25"/>
          <w:sz w:val="24"/>
          <w:shd w:val="clear" w:color="auto" w:fill="FFFFFF"/>
        </w:rPr>
      </w:pPr>
      <w:r>
        <w:rPr>
          <w:rFonts w:hint="eastAsia"/>
          <w:sz w:val="24"/>
        </w:rPr>
        <w:t>[17]</w:t>
      </w:r>
      <w:r>
        <w:rPr>
          <w:sz w:val="24"/>
        </w:rPr>
        <w:t xml:space="preserve"> </w:t>
      </w:r>
      <w:r>
        <w:rPr>
          <w:rStyle w:val="22"/>
          <w:sz w:val="24"/>
        </w:rPr>
        <w:t>Xie X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Zhong Z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Zhao W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Zheng C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Wang F</w:t>
      </w:r>
      <w:r>
        <w:rPr>
          <w:rStyle w:val="24"/>
          <w:sz w:val="24"/>
          <w:shd w:val="clear" w:color="auto" w:fill="FFFFFF"/>
        </w:rPr>
        <w:t>, </w:t>
      </w:r>
      <w:r>
        <w:rPr>
          <w:rStyle w:val="22"/>
          <w:sz w:val="24"/>
        </w:rPr>
        <w:t>Liu J</w:t>
      </w:r>
      <w:r>
        <w:rPr>
          <w:sz w:val="24"/>
        </w:rPr>
        <w:t xml:space="preserve">. Chest CT for Typical 2019-nCoV Pneumonia: Relationship to Negative RT-PCR Testing. Radiology. </w:t>
      </w:r>
      <w:r>
        <w:rPr>
          <w:rStyle w:val="25"/>
          <w:sz w:val="24"/>
          <w:shd w:val="clear" w:color="auto" w:fill="FFFFFF"/>
        </w:rPr>
        <w:t>2020;296(2):E41-E45.</w:t>
      </w:r>
    </w:p>
    <w:p>
      <w:pPr>
        <w:shd w:val="clear" w:color="auto" w:fill="FFFFFF"/>
        <w:spacing w:line="360" w:lineRule="auto"/>
        <w:ind w:left="360" w:hanging="360" w:hangingChars="150"/>
        <w:rPr>
          <w:kern w:val="0"/>
          <w:sz w:val="24"/>
        </w:rPr>
      </w:pPr>
      <w:r>
        <w:rPr>
          <w:sz w:val="24"/>
        </w:rPr>
        <w:t>[1</w:t>
      </w:r>
      <w:r>
        <w:rPr>
          <w:rFonts w:hint="eastAsia"/>
          <w:sz w:val="24"/>
        </w:rPr>
        <w:t>8</w:t>
      </w:r>
      <w:r>
        <w:rPr>
          <w:sz w:val="24"/>
        </w:rPr>
        <w:t xml:space="preserve">] </w:t>
      </w:r>
      <w:r>
        <w:rPr>
          <w:iCs/>
          <w:sz w:val="24"/>
        </w:rPr>
        <w:t xml:space="preserve">Duan YN, Qin J. </w:t>
      </w:r>
      <w:r>
        <w:rPr>
          <w:sz w:val="24"/>
        </w:rPr>
        <w:t xml:space="preserve">Pre- and Posttreatment Chest CT Findings: 2019 Novel Coronavirus (2019-nCoV) Pneumonia. </w:t>
      </w:r>
      <w:r>
        <w:rPr>
          <w:kern w:val="0"/>
          <w:sz w:val="24"/>
        </w:rPr>
        <w:t>Radiology.</w:t>
      </w:r>
      <w:r>
        <w:t xml:space="preserve"> </w:t>
      </w:r>
      <w:r>
        <w:rPr>
          <w:kern w:val="0"/>
          <w:sz w:val="24"/>
        </w:rPr>
        <w:t xml:space="preserve">2020;295(1):21. </w:t>
      </w:r>
    </w:p>
    <w:p>
      <w:pPr>
        <w:shd w:val="clear" w:color="auto" w:fill="FFFFFF"/>
        <w:spacing w:line="360" w:lineRule="auto"/>
        <w:ind w:left="360" w:hanging="360" w:hangingChars="150"/>
        <w:rPr>
          <w:kern w:val="0"/>
          <w:sz w:val="24"/>
        </w:rPr>
      </w:pPr>
      <w:r>
        <w:rPr>
          <w:kern w:val="0"/>
          <w:sz w:val="24"/>
        </w:rPr>
        <w:t>[</w:t>
      </w:r>
      <w:r>
        <w:rPr>
          <w:rFonts w:hint="eastAsia"/>
          <w:kern w:val="0"/>
          <w:sz w:val="24"/>
        </w:rPr>
        <w:t>19</w:t>
      </w:r>
      <w:r>
        <w:rPr>
          <w:kern w:val="0"/>
          <w:sz w:val="24"/>
        </w:rPr>
        <w:t>]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Michael C, Adam B, Mei XY, Zhang N, Huang MQ, Zeng XJ, et al. CT imaging features of 2019 novel coronavirus (2019-nCoV). Radiology. 2020;295(1):202–7. </w:t>
      </w:r>
    </w:p>
    <w:p>
      <w:pPr>
        <w:shd w:val="clear" w:color="auto" w:fill="FFFFFF"/>
        <w:spacing w:line="360" w:lineRule="auto"/>
        <w:ind w:left="360" w:hanging="360" w:hangingChars="150"/>
        <w:rPr>
          <w:rFonts w:eastAsiaTheme="minorEastAsia"/>
        </w:rPr>
      </w:pPr>
      <w:r>
        <w:rPr>
          <w:rStyle w:val="27"/>
          <w:sz w:val="24"/>
        </w:rPr>
        <w:t>[2</w:t>
      </w:r>
      <w:r>
        <w:rPr>
          <w:rStyle w:val="27"/>
          <w:rFonts w:hint="eastAsia"/>
          <w:sz w:val="24"/>
        </w:rPr>
        <w:t>0</w:t>
      </w:r>
      <w:r>
        <w:rPr>
          <w:rStyle w:val="27"/>
          <w:sz w:val="24"/>
        </w:rPr>
        <w:t xml:space="preserve">] </w:t>
      </w:r>
      <w:r>
        <w:rPr>
          <w:sz w:val="24"/>
        </w:rPr>
        <w:t>Pan YY</w:t>
      </w:r>
      <w:r>
        <w:rPr>
          <w:rFonts w:hint="eastAsia"/>
          <w:sz w:val="24"/>
        </w:rPr>
        <w:t xml:space="preserve">, </w:t>
      </w:r>
      <w:r>
        <w:rPr>
          <w:sz w:val="24"/>
        </w:rPr>
        <w:t>Guan H</w:t>
      </w:r>
      <w:r>
        <w:rPr>
          <w:rFonts w:hint="eastAsia"/>
          <w:sz w:val="24"/>
        </w:rPr>
        <w:t xml:space="preserve">, </w:t>
      </w:r>
      <w:r>
        <w:rPr>
          <w:sz w:val="24"/>
        </w:rPr>
        <w:t>Zhou S</w:t>
      </w:r>
      <w:r>
        <w:rPr>
          <w:rFonts w:hint="eastAsia"/>
          <w:sz w:val="24"/>
        </w:rPr>
        <w:t xml:space="preserve">, </w:t>
      </w:r>
      <w:r>
        <w:rPr>
          <w:sz w:val="24"/>
        </w:rPr>
        <w:t>Wang Y</w:t>
      </w:r>
      <w:r>
        <w:rPr>
          <w:rFonts w:hint="eastAsia"/>
          <w:sz w:val="24"/>
        </w:rPr>
        <w:t xml:space="preserve">, </w:t>
      </w:r>
      <w:r>
        <w:rPr>
          <w:sz w:val="24"/>
        </w:rPr>
        <w:t>Li Q</w:t>
      </w:r>
      <w:r>
        <w:rPr>
          <w:rFonts w:hint="eastAsia"/>
          <w:sz w:val="24"/>
        </w:rPr>
        <w:t xml:space="preserve">, </w:t>
      </w:r>
      <w:r>
        <w:rPr>
          <w:sz w:val="24"/>
        </w:rPr>
        <w:t>Zhu T</w:t>
      </w:r>
      <w:r>
        <w:rPr>
          <w:rFonts w:hint="eastAsia"/>
          <w:sz w:val="24"/>
        </w:rPr>
        <w:t xml:space="preserve">, </w:t>
      </w:r>
      <w:r>
        <w:rPr>
          <w:sz w:val="24"/>
        </w:rPr>
        <w:t>Hu Q</w:t>
      </w:r>
      <w:r>
        <w:rPr>
          <w:bCs/>
          <w:sz w:val="24"/>
        </w:rPr>
        <w:t xml:space="preserve">, </w:t>
      </w:r>
      <w:r>
        <w:rPr>
          <w:sz w:val="24"/>
        </w:rPr>
        <w:t>et al</w:t>
      </w:r>
      <w:r>
        <w:rPr>
          <w:bCs/>
          <w:sz w:val="24"/>
        </w:rPr>
        <w:t xml:space="preserve">. </w:t>
      </w:r>
      <w:r>
        <w:rPr>
          <w:sz w:val="24"/>
        </w:rPr>
        <w:t>Initial CT findings and temporal changes in patients with the novel</w:t>
      </w:r>
      <w:r>
        <w:rPr>
          <w:bCs/>
          <w:sz w:val="24"/>
        </w:rPr>
        <w:t xml:space="preserve"> </w:t>
      </w:r>
      <w:r>
        <w:rPr>
          <w:sz w:val="24"/>
        </w:rPr>
        <w:t>coronavirus pneumonia (2019-nCoV): a study of 63 patients</w:t>
      </w:r>
      <w:r>
        <w:rPr>
          <w:bCs/>
          <w:sz w:val="24"/>
        </w:rPr>
        <w:t xml:space="preserve"> </w:t>
      </w:r>
      <w:r>
        <w:rPr>
          <w:sz w:val="24"/>
        </w:rPr>
        <w:t>in Wuhan, China</w:t>
      </w:r>
      <w:r>
        <w:rPr>
          <w:bCs/>
          <w:sz w:val="24"/>
        </w:rPr>
        <w:t xml:space="preserve">. </w:t>
      </w:r>
      <w:r>
        <w:rPr>
          <w:kern w:val="0"/>
          <w:sz w:val="24"/>
        </w:rPr>
        <w:t>Eur Radiol,</w:t>
      </w:r>
      <w:r>
        <w:rPr>
          <w:sz w:val="24"/>
          <w:shd w:val="clear" w:color="auto" w:fill="FFFFFF"/>
        </w:rPr>
        <w:t> </w:t>
      </w:r>
      <w:r>
        <w:rPr>
          <w:sz w:val="24"/>
        </w:rPr>
        <w:t>2020;30(6):3306-3309.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XdmmyyAdvTT43ccf47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TTb5929f4c+22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99c4c969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TTb5929f4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TT1b53b5fb.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4MGRkZGQ2ZTcwOWUzYjk3NWFiMmJhNzVlMzliMGMifQ=="/>
  </w:docVars>
  <w:rsids>
    <w:rsidRoot w:val="009A6787"/>
    <w:rsid w:val="00015E0F"/>
    <w:rsid w:val="000165A3"/>
    <w:rsid w:val="0002101C"/>
    <w:rsid w:val="00025B15"/>
    <w:rsid w:val="00025CBF"/>
    <w:rsid w:val="0003732F"/>
    <w:rsid w:val="000421EE"/>
    <w:rsid w:val="00046B5D"/>
    <w:rsid w:val="00064FDE"/>
    <w:rsid w:val="00065F73"/>
    <w:rsid w:val="0007076B"/>
    <w:rsid w:val="000721BD"/>
    <w:rsid w:val="00085899"/>
    <w:rsid w:val="00087E80"/>
    <w:rsid w:val="000A0251"/>
    <w:rsid w:val="000A2810"/>
    <w:rsid w:val="000C3263"/>
    <w:rsid w:val="000D0F0A"/>
    <w:rsid w:val="000F0D30"/>
    <w:rsid w:val="000F5406"/>
    <w:rsid w:val="0012066D"/>
    <w:rsid w:val="00122057"/>
    <w:rsid w:val="001227F7"/>
    <w:rsid w:val="00134BE4"/>
    <w:rsid w:val="0013682F"/>
    <w:rsid w:val="00137BC0"/>
    <w:rsid w:val="0014131D"/>
    <w:rsid w:val="00150083"/>
    <w:rsid w:val="00152B05"/>
    <w:rsid w:val="00155B90"/>
    <w:rsid w:val="001607BA"/>
    <w:rsid w:val="001670A1"/>
    <w:rsid w:val="00172D88"/>
    <w:rsid w:val="001741BB"/>
    <w:rsid w:val="001744D9"/>
    <w:rsid w:val="0017486D"/>
    <w:rsid w:val="00174BB1"/>
    <w:rsid w:val="00176909"/>
    <w:rsid w:val="00177CC5"/>
    <w:rsid w:val="00177F9F"/>
    <w:rsid w:val="001971B5"/>
    <w:rsid w:val="001A7C41"/>
    <w:rsid w:val="001C02B1"/>
    <w:rsid w:val="001C5725"/>
    <w:rsid w:val="001C67F8"/>
    <w:rsid w:val="001D2752"/>
    <w:rsid w:val="001D32EB"/>
    <w:rsid w:val="001D3B08"/>
    <w:rsid w:val="001E1249"/>
    <w:rsid w:val="001E53D8"/>
    <w:rsid w:val="001E586E"/>
    <w:rsid w:val="0021410F"/>
    <w:rsid w:val="00215A15"/>
    <w:rsid w:val="0022066B"/>
    <w:rsid w:val="00224726"/>
    <w:rsid w:val="002323D6"/>
    <w:rsid w:val="002335D0"/>
    <w:rsid w:val="002351D1"/>
    <w:rsid w:val="00236ECF"/>
    <w:rsid w:val="00246BD1"/>
    <w:rsid w:val="002540C9"/>
    <w:rsid w:val="00262C7D"/>
    <w:rsid w:val="00274B76"/>
    <w:rsid w:val="00277939"/>
    <w:rsid w:val="002813FB"/>
    <w:rsid w:val="002829F5"/>
    <w:rsid w:val="00283A46"/>
    <w:rsid w:val="00290411"/>
    <w:rsid w:val="00292C85"/>
    <w:rsid w:val="0029419E"/>
    <w:rsid w:val="00296074"/>
    <w:rsid w:val="002977A4"/>
    <w:rsid w:val="002A10AF"/>
    <w:rsid w:val="002A3D50"/>
    <w:rsid w:val="002C0B55"/>
    <w:rsid w:val="002C25D2"/>
    <w:rsid w:val="002D5F44"/>
    <w:rsid w:val="002E273F"/>
    <w:rsid w:val="002E2A3B"/>
    <w:rsid w:val="002E6FAB"/>
    <w:rsid w:val="002F66C7"/>
    <w:rsid w:val="00310960"/>
    <w:rsid w:val="00314631"/>
    <w:rsid w:val="00314F75"/>
    <w:rsid w:val="00315ACB"/>
    <w:rsid w:val="00321CD1"/>
    <w:rsid w:val="003234B5"/>
    <w:rsid w:val="00332C49"/>
    <w:rsid w:val="00333AA8"/>
    <w:rsid w:val="003364EF"/>
    <w:rsid w:val="00351538"/>
    <w:rsid w:val="0035316A"/>
    <w:rsid w:val="003576D7"/>
    <w:rsid w:val="00363AEF"/>
    <w:rsid w:val="00365250"/>
    <w:rsid w:val="00367156"/>
    <w:rsid w:val="00372694"/>
    <w:rsid w:val="00375548"/>
    <w:rsid w:val="00375A28"/>
    <w:rsid w:val="003763D5"/>
    <w:rsid w:val="00382F5A"/>
    <w:rsid w:val="00383E14"/>
    <w:rsid w:val="00397A51"/>
    <w:rsid w:val="003A15FF"/>
    <w:rsid w:val="003B2FC7"/>
    <w:rsid w:val="003B76AF"/>
    <w:rsid w:val="003C40A1"/>
    <w:rsid w:val="003D4A6E"/>
    <w:rsid w:val="003D4B8E"/>
    <w:rsid w:val="003D6148"/>
    <w:rsid w:val="003D7C2C"/>
    <w:rsid w:val="003E1F0F"/>
    <w:rsid w:val="003E507C"/>
    <w:rsid w:val="003E58F0"/>
    <w:rsid w:val="003E626F"/>
    <w:rsid w:val="003E7C6C"/>
    <w:rsid w:val="003F0D38"/>
    <w:rsid w:val="003F2A76"/>
    <w:rsid w:val="003F34B0"/>
    <w:rsid w:val="004007D7"/>
    <w:rsid w:val="00403141"/>
    <w:rsid w:val="0041054D"/>
    <w:rsid w:val="004223E7"/>
    <w:rsid w:val="00430974"/>
    <w:rsid w:val="00432020"/>
    <w:rsid w:val="004370E9"/>
    <w:rsid w:val="00453087"/>
    <w:rsid w:val="004546BF"/>
    <w:rsid w:val="00456F26"/>
    <w:rsid w:val="00465977"/>
    <w:rsid w:val="00467D68"/>
    <w:rsid w:val="00471D92"/>
    <w:rsid w:val="00482B95"/>
    <w:rsid w:val="0048478E"/>
    <w:rsid w:val="00495355"/>
    <w:rsid w:val="004966D9"/>
    <w:rsid w:val="00496769"/>
    <w:rsid w:val="004A3ED6"/>
    <w:rsid w:val="004A5C3C"/>
    <w:rsid w:val="004B1A3A"/>
    <w:rsid w:val="004B67FE"/>
    <w:rsid w:val="004B7C76"/>
    <w:rsid w:val="004C040B"/>
    <w:rsid w:val="004C6103"/>
    <w:rsid w:val="004D571C"/>
    <w:rsid w:val="004E3BAC"/>
    <w:rsid w:val="004E498B"/>
    <w:rsid w:val="004E6314"/>
    <w:rsid w:val="004F6950"/>
    <w:rsid w:val="0051442C"/>
    <w:rsid w:val="00514441"/>
    <w:rsid w:val="00517CB4"/>
    <w:rsid w:val="00521109"/>
    <w:rsid w:val="005254F7"/>
    <w:rsid w:val="00533883"/>
    <w:rsid w:val="005365BF"/>
    <w:rsid w:val="00537D27"/>
    <w:rsid w:val="00546F7A"/>
    <w:rsid w:val="00550B82"/>
    <w:rsid w:val="0055528C"/>
    <w:rsid w:val="0055671C"/>
    <w:rsid w:val="005741C5"/>
    <w:rsid w:val="005758D4"/>
    <w:rsid w:val="00575FEA"/>
    <w:rsid w:val="00576D14"/>
    <w:rsid w:val="0058134F"/>
    <w:rsid w:val="00583816"/>
    <w:rsid w:val="0059324C"/>
    <w:rsid w:val="0059402D"/>
    <w:rsid w:val="00594C6C"/>
    <w:rsid w:val="005B1AD6"/>
    <w:rsid w:val="005B41A3"/>
    <w:rsid w:val="005D743C"/>
    <w:rsid w:val="005D7E39"/>
    <w:rsid w:val="005E0084"/>
    <w:rsid w:val="005E21F2"/>
    <w:rsid w:val="005E38BA"/>
    <w:rsid w:val="005E3CCA"/>
    <w:rsid w:val="005E43F9"/>
    <w:rsid w:val="005F2DD3"/>
    <w:rsid w:val="00600009"/>
    <w:rsid w:val="006026E5"/>
    <w:rsid w:val="00606876"/>
    <w:rsid w:val="00606DB6"/>
    <w:rsid w:val="00612C51"/>
    <w:rsid w:val="00621F74"/>
    <w:rsid w:val="006314D0"/>
    <w:rsid w:val="0063174E"/>
    <w:rsid w:val="00633B4E"/>
    <w:rsid w:val="00634737"/>
    <w:rsid w:val="0064456E"/>
    <w:rsid w:val="006501A2"/>
    <w:rsid w:val="00651C82"/>
    <w:rsid w:val="00655234"/>
    <w:rsid w:val="0065597C"/>
    <w:rsid w:val="00673159"/>
    <w:rsid w:val="006955A9"/>
    <w:rsid w:val="00696D1E"/>
    <w:rsid w:val="006A768D"/>
    <w:rsid w:val="006B1ED6"/>
    <w:rsid w:val="006B5C4D"/>
    <w:rsid w:val="006B6A6E"/>
    <w:rsid w:val="006C011D"/>
    <w:rsid w:val="006C4659"/>
    <w:rsid w:val="006C51BD"/>
    <w:rsid w:val="006C73EE"/>
    <w:rsid w:val="006C7CA4"/>
    <w:rsid w:val="006F7734"/>
    <w:rsid w:val="00702564"/>
    <w:rsid w:val="00703681"/>
    <w:rsid w:val="00706026"/>
    <w:rsid w:val="00707BD6"/>
    <w:rsid w:val="0071600A"/>
    <w:rsid w:val="00721279"/>
    <w:rsid w:val="00726720"/>
    <w:rsid w:val="00727977"/>
    <w:rsid w:val="007307F6"/>
    <w:rsid w:val="00731F11"/>
    <w:rsid w:val="007324E8"/>
    <w:rsid w:val="00737C68"/>
    <w:rsid w:val="00741890"/>
    <w:rsid w:val="00745A61"/>
    <w:rsid w:val="007527EB"/>
    <w:rsid w:val="00754404"/>
    <w:rsid w:val="007627FE"/>
    <w:rsid w:val="0077394A"/>
    <w:rsid w:val="0078153F"/>
    <w:rsid w:val="00782A79"/>
    <w:rsid w:val="007830FD"/>
    <w:rsid w:val="00784DBA"/>
    <w:rsid w:val="00786601"/>
    <w:rsid w:val="0079028D"/>
    <w:rsid w:val="00791272"/>
    <w:rsid w:val="00793094"/>
    <w:rsid w:val="007972FA"/>
    <w:rsid w:val="007C095F"/>
    <w:rsid w:val="007D0245"/>
    <w:rsid w:val="007D609A"/>
    <w:rsid w:val="007D65EE"/>
    <w:rsid w:val="007E3926"/>
    <w:rsid w:val="007E7146"/>
    <w:rsid w:val="008078A6"/>
    <w:rsid w:val="00817078"/>
    <w:rsid w:val="00817B29"/>
    <w:rsid w:val="00825A74"/>
    <w:rsid w:val="00834252"/>
    <w:rsid w:val="00836A04"/>
    <w:rsid w:val="00836DEE"/>
    <w:rsid w:val="008421B0"/>
    <w:rsid w:val="008517EC"/>
    <w:rsid w:val="00855EF7"/>
    <w:rsid w:val="00861A7E"/>
    <w:rsid w:val="008638D2"/>
    <w:rsid w:val="008837B6"/>
    <w:rsid w:val="00887326"/>
    <w:rsid w:val="008874E0"/>
    <w:rsid w:val="00891E15"/>
    <w:rsid w:val="00892766"/>
    <w:rsid w:val="0089680D"/>
    <w:rsid w:val="008A007B"/>
    <w:rsid w:val="008A1E5B"/>
    <w:rsid w:val="008B3D82"/>
    <w:rsid w:val="008F21D1"/>
    <w:rsid w:val="008F539E"/>
    <w:rsid w:val="008F7BD1"/>
    <w:rsid w:val="00910217"/>
    <w:rsid w:val="009105BA"/>
    <w:rsid w:val="00915F6A"/>
    <w:rsid w:val="009168AE"/>
    <w:rsid w:val="009319F7"/>
    <w:rsid w:val="00940183"/>
    <w:rsid w:val="0096226D"/>
    <w:rsid w:val="00964934"/>
    <w:rsid w:val="0098058D"/>
    <w:rsid w:val="00981AAF"/>
    <w:rsid w:val="00983786"/>
    <w:rsid w:val="00992993"/>
    <w:rsid w:val="009A1D71"/>
    <w:rsid w:val="009A6787"/>
    <w:rsid w:val="009A6A07"/>
    <w:rsid w:val="009C1722"/>
    <w:rsid w:val="009C2A9E"/>
    <w:rsid w:val="009C2D18"/>
    <w:rsid w:val="009C4DD2"/>
    <w:rsid w:val="009C71F9"/>
    <w:rsid w:val="009D1E44"/>
    <w:rsid w:val="009D7ED5"/>
    <w:rsid w:val="009E456C"/>
    <w:rsid w:val="009E5000"/>
    <w:rsid w:val="009F3229"/>
    <w:rsid w:val="009F717A"/>
    <w:rsid w:val="00A03161"/>
    <w:rsid w:val="00A06CBB"/>
    <w:rsid w:val="00A10F7A"/>
    <w:rsid w:val="00A20659"/>
    <w:rsid w:val="00A210B2"/>
    <w:rsid w:val="00A22E14"/>
    <w:rsid w:val="00A34BE2"/>
    <w:rsid w:val="00A361C7"/>
    <w:rsid w:val="00A41AD4"/>
    <w:rsid w:val="00A5272A"/>
    <w:rsid w:val="00A61D6E"/>
    <w:rsid w:val="00A64DA4"/>
    <w:rsid w:val="00A73903"/>
    <w:rsid w:val="00A73ADA"/>
    <w:rsid w:val="00A96466"/>
    <w:rsid w:val="00AA2BD2"/>
    <w:rsid w:val="00AB0CC1"/>
    <w:rsid w:val="00AC099A"/>
    <w:rsid w:val="00AC4886"/>
    <w:rsid w:val="00AC7417"/>
    <w:rsid w:val="00AD4B71"/>
    <w:rsid w:val="00AF5433"/>
    <w:rsid w:val="00AF6FC4"/>
    <w:rsid w:val="00B00D88"/>
    <w:rsid w:val="00B01D98"/>
    <w:rsid w:val="00B0242D"/>
    <w:rsid w:val="00B16E10"/>
    <w:rsid w:val="00B272D8"/>
    <w:rsid w:val="00B3491C"/>
    <w:rsid w:val="00B36821"/>
    <w:rsid w:val="00B51761"/>
    <w:rsid w:val="00B62B7D"/>
    <w:rsid w:val="00B663BA"/>
    <w:rsid w:val="00B673D2"/>
    <w:rsid w:val="00B76C0B"/>
    <w:rsid w:val="00B90A7C"/>
    <w:rsid w:val="00B94A22"/>
    <w:rsid w:val="00B95F28"/>
    <w:rsid w:val="00B968DB"/>
    <w:rsid w:val="00BA0126"/>
    <w:rsid w:val="00BB3C4F"/>
    <w:rsid w:val="00BB3F6B"/>
    <w:rsid w:val="00BB4FEA"/>
    <w:rsid w:val="00BC4F1B"/>
    <w:rsid w:val="00BD28F5"/>
    <w:rsid w:val="00BE2E91"/>
    <w:rsid w:val="00BE5268"/>
    <w:rsid w:val="00BF4BFB"/>
    <w:rsid w:val="00C0227D"/>
    <w:rsid w:val="00C12142"/>
    <w:rsid w:val="00C1328F"/>
    <w:rsid w:val="00C17D0F"/>
    <w:rsid w:val="00C274CD"/>
    <w:rsid w:val="00C37324"/>
    <w:rsid w:val="00C40A95"/>
    <w:rsid w:val="00C430F8"/>
    <w:rsid w:val="00C43F57"/>
    <w:rsid w:val="00C462B5"/>
    <w:rsid w:val="00C57415"/>
    <w:rsid w:val="00C74FD1"/>
    <w:rsid w:val="00C77CB9"/>
    <w:rsid w:val="00C81796"/>
    <w:rsid w:val="00C84E8C"/>
    <w:rsid w:val="00C851D2"/>
    <w:rsid w:val="00C92F79"/>
    <w:rsid w:val="00C943E3"/>
    <w:rsid w:val="00C94674"/>
    <w:rsid w:val="00C94DFA"/>
    <w:rsid w:val="00C97309"/>
    <w:rsid w:val="00CA05F5"/>
    <w:rsid w:val="00CA0C6C"/>
    <w:rsid w:val="00CA1FA7"/>
    <w:rsid w:val="00CB448E"/>
    <w:rsid w:val="00CB74E8"/>
    <w:rsid w:val="00CD1A85"/>
    <w:rsid w:val="00CD1C5A"/>
    <w:rsid w:val="00CD24BB"/>
    <w:rsid w:val="00CD281F"/>
    <w:rsid w:val="00CD2A42"/>
    <w:rsid w:val="00CD35B2"/>
    <w:rsid w:val="00CD442F"/>
    <w:rsid w:val="00CE5235"/>
    <w:rsid w:val="00CE73F9"/>
    <w:rsid w:val="00CF197E"/>
    <w:rsid w:val="00CF1CF8"/>
    <w:rsid w:val="00CF1ED9"/>
    <w:rsid w:val="00CF21AB"/>
    <w:rsid w:val="00CF2C09"/>
    <w:rsid w:val="00CF5FD4"/>
    <w:rsid w:val="00D0242A"/>
    <w:rsid w:val="00D0530E"/>
    <w:rsid w:val="00D11339"/>
    <w:rsid w:val="00D140F2"/>
    <w:rsid w:val="00D36CA6"/>
    <w:rsid w:val="00D37187"/>
    <w:rsid w:val="00D37DE6"/>
    <w:rsid w:val="00D4472B"/>
    <w:rsid w:val="00D47166"/>
    <w:rsid w:val="00D47B9B"/>
    <w:rsid w:val="00D47E0C"/>
    <w:rsid w:val="00D54894"/>
    <w:rsid w:val="00D643F5"/>
    <w:rsid w:val="00D8044E"/>
    <w:rsid w:val="00D900B2"/>
    <w:rsid w:val="00D93D7D"/>
    <w:rsid w:val="00D95BCC"/>
    <w:rsid w:val="00D968BB"/>
    <w:rsid w:val="00DA4315"/>
    <w:rsid w:val="00DA4E21"/>
    <w:rsid w:val="00DA4E6D"/>
    <w:rsid w:val="00DA67EB"/>
    <w:rsid w:val="00DA74E3"/>
    <w:rsid w:val="00DC0AD5"/>
    <w:rsid w:val="00DD4232"/>
    <w:rsid w:val="00DE0FBC"/>
    <w:rsid w:val="00DE1A64"/>
    <w:rsid w:val="00DE7075"/>
    <w:rsid w:val="00DF065A"/>
    <w:rsid w:val="00E079D7"/>
    <w:rsid w:val="00E10E27"/>
    <w:rsid w:val="00E13C49"/>
    <w:rsid w:val="00E16709"/>
    <w:rsid w:val="00E16BF8"/>
    <w:rsid w:val="00E216EA"/>
    <w:rsid w:val="00E3066E"/>
    <w:rsid w:val="00E33305"/>
    <w:rsid w:val="00E35E0C"/>
    <w:rsid w:val="00E43EF0"/>
    <w:rsid w:val="00E45C18"/>
    <w:rsid w:val="00E45DAE"/>
    <w:rsid w:val="00E46C00"/>
    <w:rsid w:val="00E50249"/>
    <w:rsid w:val="00E531B7"/>
    <w:rsid w:val="00E55C43"/>
    <w:rsid w:val="00E5639C"/>
    <w:rsid w:val="00E63357"/>
    <w:rsid w:val="00E847D2"/>
    <w:rsid w:val="00E855C2"/>
    <w:rsid w:val="00E94EFC"/>
    <w:rsid w:val="00E9579E"/>
    <w:rsid w:val="00EA407D"/>
    <w:rsid w:val="00EC58BB"/>
    <w:rsid w:val="00ED4983"/>
    <w:rsid w:val="00ED7125"/>
    <w:rsid w:val="00EE2AAB"/>
    <w:rsid w:val="00EF310B"/>
    <w:rsid w:val="00F100FD"/>
    <w:rsid w:val="00F10865"/>
    <w:rsid w:val="00F114DF"/>
    <w:rsid w:val="00F13167"/>
    <w:rsid w:val="00F139EF"/>
    <w:rsid w:val="00F30968"/>
    <w:rsid w:val="00F40D8E"/>
    <w:rsid w:val="00F41748"/>
    <w:rsid w:val="00F44AAB"/>
    <w:rsid w:val="00F62127"/>
    <w:rsid w:val="00F654B9"/>
    <w:rsid w:val="00F70308"/>
    <w:rsid w:val="00F726CA"/>
    <w:rsid w:val="00F75699"/>
    <w:rsid w:val="00F775F3"/>
    <w:rsid w:val="00F80404"/>
    <w:rsid w:val="00F90CAE"/>
    <w:rsid w:val="00F91C36"/>
    <w:rsid w:val="00F928BA"/>
    <w:rsid w:val="00F946D6"/>
    <w:rsid w:val="00F9602C"/>
    <w:rsid w:val="00FB0C17"/>
    <w:rsid w:val="00FB7403"/>
    <w:rsid w:val="00FC47CD"/>
    <w:rsid w:val="00FC6C3D"/>
    <w:rsid w:val="00FD4277"/>
    <w:rsid w:val="00FE31E7"/>
    <w:rsid w:val="00FE3A6D"/>
    <w:rsid w:val="6E803811"/>
    <w:rsid w:val="755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2"/>
    <w:semiHidden/>
    <w:unhideWhenUsed/>
    <w:uiPriority w:val="99"/>
    <w:rPr>
      <w:sz w:val="20"/>
      <w:szCs w:val="20"/>
    </w:rPr>
  </w:style>
  <w:style w:type="paragraph" w:styleId="4">
    <w:name w:val="Balloon Text"/>
    <w:basedOn w:val="1"/>
    <w:link w:val="3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33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customStyle="1" w:styleId="15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tgt2"/>
    <w:basedOn w:val="1"/>
    <w:uiPriority w:val="0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7">
    <w:name w:val="fontstyle01"/>
    <w:basedOn w:val="10"/>
    <w:uiPriority w:val="0"/>
    <w:rPr>
      <w:rFonts w:hint="default" w:ascii="TimesNewRomanPSMT" w:hAnsi="TimesNewRomanPSMT"/>
      <w:color w:val="000000"/>
      <w:sz w:val="20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ahead-of-print"/>
    <w:basedOn w:val="10"/>
    <w:uiPriority w:val="0"/>
  </w:style>
  <w:style w:type="character" w:customStyle="1" w:styleId="22">
    <w:name w:val="authors-list-item"/>
    <w:basedOn w:val="10"/>
    <w:uiPriority w:val="0"/>
  </w:style>
  <w:style w:type="character" w:customStyle="1" w:styleId="23">
    <w:name w:val="author-sup-separator"/>
    <w:basedOn w:val="10"/>
    <w:qFormat/>
    <w:uiPriority w:val="0"/>
  </w:style>
  <w:style w:type="character" w:customStyle="1" w:styleId="24">
    <w:name w:val="comma"/>
    <w:basedOn w:val="10"/>
    <w:qFormat/>
    <w:uiPriority w:val="0"/>
  </w:style>
  <w:style w:type="character" w:customStyle="1" w:styleId="25">
    <w:name w:val="publication-date"/>
    <w:basedOn w:val="10"/>
    <w:qFormat/>
    <w:uiPriority w:val="0"/>
  </w:style>
  <w:style w:type="character" w:customStyle="1" w:styleId="26">
    <w:name w:val="volume-issue-pages"/>
    <w:basedOn w:val="10"/>
    <w:qFormat/>
    <w:uiPriority w:val="0"/>
  </w:style>
  <w:style w:type="character" w:customStyle="1" w:styleId="27">
    <w:name w:val="identifier"/>
    <w:basedOn w:val="10"/>
    <w:qFormat/>
    <w:uiPriority w:val="0"/>
  </w:style>
  <w:style w:type="character" w:customStyle="1" w:styleId="28">
    <w:name w:val="id-label"/>
    <w:basedOn w:val="10"/>
    <w:qFormat/>
    <w:uiPriority w:val="0"/>
  </w:style>
  <w:style w:type="character" w:customStyle="1" w:styleId="29">
    <w:name w:val="fontstyle21"/>
    <w:basedOn w:val="10"/>
    <w:uiPriority w:val="0"/>
    <w:rPr>
      <w:rFonts w:hint="default" w:ascii="MyriadPro-Regular" w:hAnsi="MyriadPro-Regular"/>
      <w:color w:val="131413"/>
      <w:sz w:val="16"/>
      <w:szCs w:val="16"/>
    </w:rPr>
  </w:style>
  <w:style w:type="character" w:customStyle="1" w:styleId="30">
    <w:name w:val="fontstyle11"/>
    <w:basedOn w:val="10"/>
    <w:qFormat/>
    <w:uiPriority w:val="0"/>
    <w:rPr>
      <w:rFonts w:hint="default" w:ascii="XdmmyyAdvTT43ccf47d" w:hAnsi="XdmmyyAdvTT43ccf47d"/>
      <w:color w:val="000000"/>
      <w:sz w:val="20"/>
      <w:szCs w:val="20"/>
    </w:rPr>
  </w:style>
  <w:style w:type="character" w:customStyle="1" w:styleId="31">
    <w:name w:val="批注框文本 字符"/>
    <w:basedOn w:val="10"/>
    <w:link w:val="4"/>
    <w:semiHidden/>
    <w:qFormat/>
    <w:uiPriority w:val="99"/>
    <w:rPr>
      <w:rFonts w:ascii="Segoe UI" w:hAnsi="Segoe UI" w:eastAsia="宋体" w:cs="Segoe UI"/>
      <w:sz w:val="18"/>
      <w:szCs w:val="18"/>
    </w:rPr>
  </w:style>
  <w:style w:type="character" w:customStyle="1" w:styleId="32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33">
    <w:name w:val="批注主题 字符"/>
    <w:basedOn w:val="32"/>
    <w:link w:val="7"/>
    <w:semiHidden/>
    <w:qFormat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34">
    <w:name w:val="transsent"/>
    <w:basedOn w:val="10"/>
    <w:qFormat/>
    <w:uiPriority w:val="0"/>
  </w:style>
  <w:style w:type="character" w:customStyle="1" w:styleId="35">
    <w:name w:val="fontstyle31"/>
    <w:basedOn w:val="10"/>
    <w:qFormat/>
    <w:uiPriority w:val="0"/>
    <w:rPr>
      <w:rFonts w:hint="default" w:ascii="AdvTTb5929f4c+22" w:hAnsi="AdvTTb5929f4c+22"/>
      <w:color w:val="000000"/>
      <w:sz w:val="16"/>
      <w:szCs w:val="16"/>
    </w:rPr>
  </w:style>
  <w:style w:type="character" w:customStyle="1" w:styleId="36">
    <w:name w:val="fontstyle41"/>
    <w:basedOn w:val="10"/>
    <w:qFormat/>
    <w:uiPriority w:val="0"/>
    <w:rPr>
      <w:rFonts w:hint="default" w:ascii="AdvTTb5929f4c+22" w:hAnsi="AdvTTb5929f4c+22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822F-665E-4361-A51F-DF59A7570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4993</Words>
  <Characters>9559</Characters>
  <Lines>106</Lines>
  <Paragraphs>30</Paragraphs>
  <TotalTime>4561</TotalTime>
  <ScaleCrop>false</ScaleCrop>
  <LinksUpToDate>false</LinksUpToDate>
  <CharactersWithSpaces>10532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2020-02-21T01:45:00Z</dcterms:created>
  <dc:creator>acer</dc:creator>
  <cp:lastModifiedBy>卧龙熘</cp:lastModifiedBy>
  <dcterms:modified xsi:type="dcterms:W3CDTF">2022-07-26T03:33:32Z</dcterms:modified>
  <cp:revision>444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78C8B15E15BC4C7B932D337560CACE7A</vt:lpwstr>
  </property>
</Properties>
</file>