
<file path=[Content_Types].xml><?xml version="1.0" encoding="utf-8"?>
<Types xmlns="http://schemas.openxmlformats.org/package/2006/content-types">
  <Default Extension="emf" ContentType="image/x-emf"/>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exact"/>
        <w:jc w:val="center"/>
        <w:rPr>
          <w:rFonts w:ascii="Times New Roman" w:hAnsi="Times New Roman" w:eastAsia="仿宋"/>
          <w:sz w:val="32"/>
          <w:szCs w:val="20"/>
        </w:rPr>
      </w:pPr>
      <w:bookmarkStart w:id="1" w:name="_GoBack"/>
      <w:r>
        <w:rPr>
          <w:rFonts w:ascii="Times New Roman" w:hAnsi="Times New Roman" w:eastAsia="仿宋"/>
          <w:sz w:val="32"/>
          <w:szCs w:val="20"/>
        </w:rPr>
        <w:t>高效超稳空心Cu</w:t>
      </w:r>
      <w:r>
        <w:rPr>
          <w:rFonts w:ascii="Times New Roman" w:hAnsi="Times New Roman" w:eastAsia="仿宋"/>
          <w:sz w:val="32"/>
          <w:szCs w:val="20"/>
          <w:vertAlign w:val="subscript"/>
        </w:rPr>
        <w:t>9</w:t>
      </w:r>
      <w:r>
        <w:rPr>
          <w:rFonts w:ascii="Times New Roman" w:hAnsi="Times New Roman" w:eastAsia="仿宋"/>
          <w:sz w:val="32"/>
          <w:szCs w:val="20"/>
        </w:rPr>
        <w:t>S</w:t>
      </w:r>
      <w:r>
        <w:rPr>
          <w:rFonts w:ascii="Times New Roman" w:hAnsi="Times New Roman" w:eastAsia="仿宋"/>
          <w:sz w:val="32"/>
          <w:szCs w:val="20"/>
          <w:vertAlign w:val="subscript"/>
        </w:rPr>
        <w:t>5</w:t>
      </w:r>
      <w:r>
        <w:rPr>
          <w:rFonts w:ascii="Times New Roman" w:hAnsi="Times New Roman" w:eastAsia="仿宋"/>
          <w:sz w:val="32"/>
          <w:szCs w:val="20"/>
        </w:rPr>
        <w:t>纳米球催化类Fenton反应降解有机染料废水研究</w:t>
      </w:r>
    </w:p>
    <w:bookmarkEnd w:id="1"/>
    <w:p>
      <w:pPr>
        <w:spacing w:line="360" w:lineRule="exact"/>
        <w:jc w:val="center"/>
        <w:rPr>
          <w:rFonts w:eastAsia="仿宋"/>
        </w:rPr>
      </w:pPr>
      <w:r>
        <w:rPr>
          <w:rFonts w:eastAsia="仿宋"/>
        </w:rPr>
        <w:t>罗小林</w:t>
      </w:r>
      <w:r>
        <w:rPr>
          <w:rFonts w:eastAsia="仿宋"/>
          <w:vertAlign w:val="superscript"/>
        </w:rPr>
        <w:t>1，*</w:t>
      </w:r>
      <w:r>
        <w:rPr>
          <w:rFonts w:eastAsia="仿宋"/>
        </w:rPr>
        <w:t>，胡欢婷</w:t>
      </w:r>
      <w:r>
        <w:rPr>
          <w:rFonts w:eastAsia="仿宋"/>
          <w:vertAlign w:val="superscript"/>
        </w:rPr>
        <w:t>1</w:t>
      </w:r>
      <w:r>
        <w:rPr>
          <w:rFonts w:eastAsia="仿宋"/>
        </w:rPr>
        <w:t>，潘哲</w:t>
      </w:r>
      <w:r>
        <w:rPr>
          <w:rFonts w:eastAsia="仿宋"/>
          <w:vertAlign w:val="superscript"/>
        </w:rPr>
        <w:t>1</w:t>
      </w:r>
      <w:r>
        <w:rPr>
          <w:rFonts w:eastAsia="仿宋"/>
        </w:rPr>
        <w:t>，裴霏，钱华明，苗康康，郭思凡，王伟，冯国栋</w:t>
      </w:r>
    </w:p>
    <w:p>
      <w:pPr>
        <w:widowControl/>
        <w:spacing w:line="360" w:lineRule="exact"/>
        <w:jc w:val="center"/>
        <w:rPr>
          <w:rFonts w:eastAsia="仿宋"/>
          <w:b/>
          <w:bCs/>
          <w:sz w:val="24"/>
        </w:rPr>
      </w:pPr>
    </w:p>
    <w:p>
      <w:pPr>
        <w:spacing w:line="360" w:lineRule="exact"/>
        <w:rPr>
          <w:rFonts w:eastAsia="仿宋"/>
          <w:szCs w:val="21"/>
        </w:rPr>
      </w:pPr>
      <w:r>
        <w:rPr>
          <w:rFonts w:eastAsia="仿宋"/>
          <w:b/>
          <w:bCs/>
          <w:szCs w:val="21"/>
        </w:rPr>
        <w:t>摘要</w:t>
      </w:r>
      <w:r>
        <w:rPr>
          <w:rFonts w:hint="eastAsia" w:eastAsia="仿宋"/>
          <w:szCs w:val="21"/>
        </w:rPr>
        <w:t>：</w:t>
      </w:r>
      <w:r>
        <w:rPr>
          <w:rFonts w:eastAsia="仿宋"/>
          <w:szCs w:val="21"/>
        </w:rPr>
        <w:t>具有超稳催化活性的新型多相催化剂的研发，在大规模废水处理中起着至关重要的作用。本文设计了一种简单的阴离子交换策略，利用Cu</w:t>
      </w:r>
      <w:r>
        <w:rPr>
          <w:rFonts w:eastAsia="仿宋"/>
          <w:szCs w:val="21"/>
          <w:vertAlign w:val="subscript"/>
        </w:rPr>
        <w:t>2</w:t>
      </w:r>
      <w:r>
        <w:rPr>
          <w:rFonts w:eastAsia="仿宋"/>
          <w:szCs w:val="21"/>
        </w:rPr>
        <w:t>O纳米球作为硬模板制备空心Cu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纳米球。通过X射线衍射、扫描电子显微镜、透射电子显微镜和X射线光电子能谱，系统研究了Cu</w:t>
      </w:r>
      <w:r>
        <w:rPr>
          <w:rFonts w:eastAsia="仿宋"/>
          <w:szCs w:val="21"/>
          <w:vertAlign w:val="subscript"/>
        </w:rPr>
        <w:t>2</w:t>
      </w:r>
      <w:r>
        <w:rPr>
          <w:rFonts w:eastAsia="仿宋"/>
          <w:szCs w:val="21"/>
        </w:rPr>
        <w:t>O纳米球向空心Cu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纳米球的结构和组成转变。利用类Fenton法降解有机染料评价了所得到的含铜催化剂的催化性能。结果表明，空心Cu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纳米球在含铜的5种催化剂中具有最优异的催化活性，该催化剂可以有效地加速H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分解为强氧化性的羟基自由基和超氧自由基，进而彻底氧化降解有机污染物。值得关注的是，该型催化剂在催化类Fenton反应处理有机废水时展现出宽泛的pH应用范围（pH=5.0~9.0）与超稳的催化活性，经过15次循环，该催化剂活性衰退不到2.0%，且活性组分流失率小于1.0%。本研究开发的超稳空心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纳米球催化剂在类Fenton反应处理有机废水中的具有极大的潜在应用价值。</w:t>
      </w:r>
    </w:p>
    <w:p>
      <w:pPr>
        <w:spacing w:line="360" w:lineRule="exact"/>
        <w:ind w:firstLine="420" w:firstLineChars="200"/>
      </w:pPr>
    </w:p>
    <w:p>
      <w:pPr>
        <w:widowControl/>
        <w:spacing w:line="360" w:lineRule="exact"/>
        <w:jc w:val="left"/>
        <w:rPr>
          <w:rFonts w:eastAsia="仿宋"/>
          <w:b/>
          <w:bCs/>
          <w:szCs w:val="21"/>
        </w:rPr>
      </w:pPr>
      <w:r>
        <w:rPr>
          <w:rFonts w:eastAsia="仿宋"/>
          <w:b/>
          <w:bCs/>
          <w:szCs w:val="21"/>
        </w:rPr>
        <w:t>1、前言</w:t>
      </w:r>
    </w:p>
    <w:p>
      <w:pPr>
        <w:widowControl/>
        <w:spacing w:line="360" w:lineRule="exact"/>
        <w:ind w:firstLine="420" w:firstLineChars="200"/>
        <w:jc w:val="left"/>
        <w:rPr>
          <w:rFonts w:eastAsia="仿宋"/>
          <w:szCs w:val="21"/>
        </w:rPr>
      </w:pPr>
      <w:r>
        <w:rPr>
          <w:rFonts w:eastAsia="仿宋"/>
          <w:szCs w:val="21"/>
        </w:rPr>
        <w:t>芬顿或类芬顿反应能使有机污染物催化氧化最终分解成无毒小分子产物，如水，二氧化碳和无机盐，由于其操作简单且对设备要求低，因而成为高级氧化处理技术(AOPs)处理有机废水中最有前途的工艺之一</w:t>
      </w:r>
      <w:r>
        <w:rPr>
          <w:rFonts w:eastAsia="仿宋"/>
          <w:color w:val="000000"/>
          <w:kern w:val="0"/>
          <w:szCs w:val="21"/>
          <w:lang w:bidi="ar"/>
        </w:rPr>
        <w:t>(</w:t>
      </w:r>
      <w:r>
        <w:rPr>
          <w:rFonts w:eastAsia="仿宋"/>
          <w:color w:val="287CA5"/>
          <w:kern w:val="0"/>
          <w:szCs w:val="21"/>
          <w:lang w:bidi="ar"/>
        </w:rPr>
        <w:t>Bethi et al., 2016</w:t>
      </w:r>
      <w:r>
        <w:rPr>
          <w:rFonts w:eastAsia="仿宋"/>
          <w:color w:val="000000"/>
          <w:kern w:val="0"/>
          <w:szCs w:val="21"/>
          <w:lang w:bidi="ar"/>
        </w:rPr>
        <w:t xml:space="preserve">; </w:t>
      </w:r>
      <w:r>
        <w:rPr>
          <w:rFonts w:eastAsia="仿宋"/>
          <w:color w:val="287CA5"/>
          <w:kern w:val="0"/>
          <w:szCs w:val="21"/>
          <w:lang w:bidi="ar"/>
        </w:rPr>
        <w:t>Collivignarelli et al., 2019</w:t>
      </w:r>
      <w:r>
        <w:rPr>
          <w:rFonts w:eastAsia="仿宋"/>
          <w:color w:val="000000"/>
          <w:kern w:val="0"/>
          <w:szCs w:val="21"/>
          <w:lang w:bidi="ar"/>
        </w:rPr>
        <w:t xml:space="preserve">; </w:t>
      </w:r>
      <w:r>
        <w:rPr>
          <w:rFonts w:eastAsia="仿宋"/>
          <w:color w:val="287CA5"/>
          <w:kern w:val="0"/>
          <w:szCs w:val="21"/>
          <w:lang w:bidi="ar"/>
        </w:rPr>
        <w:t>Miklos et al., 2018</w:t>
      </w:r>
      <w:r>
        <w:rPr>
          <w:rFonts w:eastAsia="仿宋"/>
          <w:color w:val="000000"/>
          <w:kern w:val="0"/>
          <w:szCs w:val="21"/>
          <w:lang w:bidi="ar"/>
        </w:rPr>
        <w:t xml:space="preserve">; </w:t>
      </w:r>
      <w:r>
        <w:rPr>
          <w:rFonts w:eastAsia="仿宋"/>
          <w:color w:val="287CA5"/>
          <w:kern w:val="0"/>
          <w:szCs w:val="21"/>
          <w:lang w:bidi="ar"/>
        </w:rPr>
        <w:t>Pavithra et al., 2019</w:t>
      </w:r>
      <w:r>
        <w:rPr>
          <w:rFonts w:eastAsia="仿宋"/>
          <w:color w:val="000000"/>
          <w:kern w:val="0"/>
          <w:szCs w:val="21"/>
          <w:lang w:bidi="ar"/>
        </w:rPr>
        <w:t xml:space="preserve">; </w:t>
      </w:r>
      <w:r>
        <w:rPr>
          <w:rFonts w:eastAsia="仿宋"/>
          <w:color w:val="287CA5"/>
          <w:kern w:val="0"/>
          <w:szCs w:val="21"/>
          <w:lang w:bidi="ar"/>
        </w:rPr>
        <w:t>Sharma et al., 2018</w:t>
      </w:r>
      <w:r>
        <w:rPr>
          <w:rFonts w:eastAsia="仿宋"/>
          <w:color w:val="000000"/>
          <w:kern w:val="0"/>
          <w:szCs w:val="21"/>
          <w:lang w:bidi="ar"/>
        </w:rPr>
        <w:t xml:space="preserve">; </w:t>
      </w:r>
      <w:r>
        <w:rPr>
          <w:rFonts w:eastAsia="仿宋"/>
          <w:color w:val="287CA5"/>
          <w:kern w:val="0"/>
          <w:szCs w:val="21"/>
          <w:lang w:bidi="ar"/>
        </w:rPr>
        <w:t>Sillanpää et al., 2018</w:t>
      </w:r>
      <w:r>
        <w:rPr>
          <w:rFonts w:eastAsia="仿宋"/>
          <w:color w:val="000000"/>
          <w:kern w:val="0"/>
          <w:szCs w:val="21"/>
          <w:lang w:bidi="ar"/>
        </w:rPr>
        <w:t xml:space="preserve">; </w:t>
      </w:r>
      <w:r>
        <w:rPr>
          <w:rFonts w:eastAsia="仿宋"/>
          <w:color w:val="287CA5"/>
          <w:kern w:val="0"/>
          <w:szCs w:val="21"/>
          <w:lang w:bidi="ar"/>
        </w:rPr>
        <w:t>Mirzaei et al., 2017</w:t>
      </w:r>
      <w:r>
        <w:rPr>
          <w:rFonts w:eastAsia="仿宋"/>
          <w:color w:val="000000"/>
          <w:kern w:val="0"/>
          <w:szCs w:val="21"/>
          <w:lang w:bidi="ar"/>
        </w:rPr>
        <w:t>)</w:t>
      </w:r>
      <w:r>
        <w:rPr>
          <w:rFonts w:eastAsia="仿宋"/>
          <w:szCs w:val="21"/>
        </w:rPr>
        <w:t>。芬顿反应中通过铁离子催化过氧化氢(H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)裂解，进而通过一系列反应最终生成具有强氧化性的羟基自由基(</w:t>
      </w:r>
      <w:bookmarkStart w:id="0" w:name="OLE_LINK1"/>
      <w:r>
        <w:rPr>
          <w:rFonts w:eastAsia="仿宋"/>
          <w:szCs w:val="21"/>
        </w:rPr>
        <w:t>·OH)</w:t>
      </w:r>
      <w:bookmarkEnd w:id="0"/>
      <w:r>
        <w:rPr>
          <w:rFonts w:eastAsia="仿宋"/>
          <w:szCs w:val="21"/>
        </w:rPr>
        <w:t>和超氧自由基(</w:t>
      </w:r>
      <w:r>
        <w:rPr>
          <w:rFonts w:eastAsia="微软雅黑"/>
          <w:szCs w:val="21"/>
        </w:rPr>
        <w:t>∙</w:t>
      </w:r>
      <w:r>
        <w:rPr>
          <w:rFonts w:eastAsia="仿宋"/>
          <w:szCs w:val="21"/>
        </w:rPr>
        <w:t>O</w:t>
      </w:r>
      <w:r>
        <w:rPr>
          <w:rFonts w:eastAsia="仿宋"/>
          <w:szCs w:val="21"/>
          <w:vertAlign w:val="subscript"/>
        </w:rPr>
        <w:t>2</w:t>
      </w:r>
      <w:r>
        <w:rPr>
          <w:rFonts w:eastAsia="仿宋"/>
          <w:szCs w:val="21"/>
          <w:vertAlign w:val="superscript"/>
        </w:rPr>
        <w:t>-</w:t>
      </w:r>
      <w:r>
        <w:rPr>
          <w:rFonts w:eastAsia="仿宋"/>
          <w:szCs w:val="21"/>
        </w:rPr>
        <w:t>)（如式1、2）。一些金属离子或离子对同样具有类似的催化活性，如Cu</w:t>
      </w:r>
      <w:r>
        <w:rPr>
          <w:rFonts w:eastAsia="仿宋"/>
          <w:szCs w:val="21"/>
          <w:vertAlign w:val="superscript"/>
        </w:rPr>
        <w:t>+</w:t>
      </w:r>
      <w:r>
        <w:rPr>
          <w:rFonts w:eastAsia="仿宋"/>
          <w:szCs w:val="21"/>
        </w:rPr>
        <w:t>/Cu</w:t>
      </w:r>
      <w:r>
        <w:rPr>
          <w:rFonts w:eastAsia="仿宋"/>
          <w:szCs w:val="21"/>
          <w:vertAlign w:val="superscript"/>
        </w:rPr>
        <w:t>2+</w:t>
      </w:r>
      <w:r>
        <w:rPr>
          <w:rFonts w:eastAsia="仿宋"/>
          <w:szCs w:val="21"/>
        </w:rPr>
        <w:t>、Cr</w:t>
      </w:r>
      <w:r>
        <w:rPr>
          <w:rFonts w:eastAsia="仿宋"/>
          <w:szCs w:val="21"/>
          <w:vertAlign w:val="superscript"/>
        </w:rPr>
        <w:t>3+</w:t>
      </w:r>
      <w:r>
        <w:rPr>
          <w:rFonts w:eastAsia="仿宋"/>
          <w:szCs w:val="21"/>
        </w:rPr>
        <w:t>/Cr</w:t>
      </w:r>
      <w:r>
        <w:rPr>
          <w:rFonts w:eastAsia="仿宋"/>
          <w:szCs w:val="21"/>
          <w:vertAlign w:val="superscript"/>
        </w:rPr>
        <w:t>6+</w:t>
      </w:r>
      <w:r>
        <w:rPr>
          <w:rFonts w:eastAsia="仿宋"/>
          <w:szCs w:val="21"/>
        </w:rPr>
        <w:t>、Co</w:t>
      </w:r>
      <w:r>
        <w:rPr>
          <w:rFonts w:eastAsia="仿宋"/>
          <w:szCs w:val="21"/>
          <w:vertAlign w:val="superscript"/>
        </w:rPr>
        <w:t>2+</w:t>
      </w:r>
      <w:r>
        <w:rPr>
          <w:rFonts w:eastAsia="仿宋"/>
          <w:szCs w:val="21"/>
        </w:rPr>
        <w:t>/Co</w:t>
      </w:r>
      <w:r>
        <w:rPr>
          <w:rFonts w:eastAsia="仿宋"/>
          <w:szCs w:val="21"/>
          <w:vertAlign w:val="superscript"/>
        </w:rPr>
        <w:t>3+</w:t>
      </w:r>
      <w:r>
        <w:rPr>
          <w:rFonts w:eastAsia="仿宋"/>
          <w:szCs w:val="21"/>
        </w:rPr>
        <w:t>、Ce</w:t>
      </w:r>
      <w:r>
        <w:rPr>
          <w:rFonts w:eastAsia="仿宋"/>
          <w:szCs w:val="21"/>
          <w:vertAlign w:val="superscript"/>
        </w:rPr>
        <w:t>3+</w:t>
      </w:r>
      <w:r>
        <w:rPr>
          <w:rFonts w:eastAsia="仿宋"/>
          <w:szCs w:val="21"/>
        </w:rPr>
        <w:t>/Ce</w:t>
      </w:r>
      <w:r>
        <w:rPr>
          <w:rFonts w:eastAsia="仿宋"/>
          <w:szCs w:val="21"/>
          <w:vertAlign w:val="superscript"/>
        </w:rPr>
        <w:t>4+</w:t>
      </w:r>
      <w:r>
        <w:rPr>
          <w:rFonts w:eastAsia="仿宋"/>
          <w:szCs w:val="21"/>
        </w:rPr>
        <w:t>、Mn</w:t>
      </w:r>
      <w:r>
        <w:rPr>
          <w:rFonts w:eastAsia="仿宋"/>
          <w:szCs w:val="21"/>
          <w:vertAlign w:val="superscript"/>
        </w:rPr>
        <w:t>x+</w:t>
      </w:r>
      <w:r>
        <w:rPr>
          <w:rFonts w:eastAsia="仿宋"/>
          <w:szCs w:val="21"/>
        </w:rPr>
        <w:t>/Mn</w:t>
      </w:r>
      <w:r>
        <w:rPr>
          <w:rFonts w:eastAsia="仿宋"/>
          <w:szCs w:val="21"/>
          <w:vertAlign w:val="superscript"/>
        </w:rPr>
        <w:t>x+1</w:t>
      </w:r>
      <w:r>
        <w:rPr>
          <w:rFonts w:eastAsia="仿宋"/>
          <w:szCs w:val="21"/>
        </w:rPr>
        <w:t>和Ru</w:t>
      </w:r>
      <w:r>
        <w:rPr>
          <w:rFonts w:eastAsia="仿宋"/>
          <w:szCs w:val="21"/>
          <w:vertAlign w:val="superscript"/>
        </w:rPr>
        <w:t>x+</w:t>
      </w:r>
      <w:r>
        <w:rPr>
          <w:rFonts w:eastAsia="仿宋"/>
          <w:szCs w:val="21"/>
        </w:rPr>
        <w:t>/Ru</w:t>
      </w:r>
      <w:r>
        <w:rPr>
          <w:rFonts w:eastAsia="仿宋"/>
          <w:szCs w:val="21"/>
          <w:vertAlign w:val="superscript"/>
        </w:rPr>
        <w:t>x+1</w:t>
      </w:r>
      <w:r>
        <w:rPr>
          <w:rFonts w:eastAsia="仿宋"/>
          <w:szCs w:val="21"/>
        </w:rPr>
        <w:t>。</w:t>
      </w:r>
      <w:r>
        <w:rPr>
          <w:rFonts w:eastAsia="仿宋"/>
          <w:color w:val="000000"/>
          <w:kern w:val="0"/>
          <w:szCs w:val="21"/>
          <w:lang w:bidi="ar"/>
        </w:rPr>
        <w:t xml:space="preserve"> (</w:t>
      </w:r>
      <w:r>
        <w:rPr>
          <w:rFonts w:eastAsia="仿宋"/>
          <w:color w:val="287CA5"/>
          <w:kern w:val="0"/>
          <w:szCs w:val="21"/>
          <w:lang w:bidi="ar"/>
        </w:rPr>
        <w:t>Bokare and Choi, 2014</w:t>
      </w:r>
      <w:r>
        <w:rPr>
          <w:rFonts w:eastAsia="仿宋"/>
          <w:color w:val="000000"/>
          <w:kern w:val="0"/>
          <w:szCs w:val="21"/>
          <w:lang w:bidi="ar"/>
        </w:rPr>
        <w:t xml:space="preserve">; </w:t>
      </w:r>
      <w:r>
        <w:rPr>
          <w:rFonts w:eastAsia="仿宋"/>
          <w:color w:val="287CA5"/>
          <w:kern w:val="0"/>
          <w:szCs w:val="21"/>
          <w:lang w:bidi="ar"/>
        </w:rPr>
        <w:t>Lee et al., 2018</w:t>
      </w:r>
      <w:r>
        <w:rPr>
          <w:rFonts w:eastAsia="仿宋"/>
          <w:color w:val="000000"/>
          <w:kern w:val="0"/>
          <w:szCs w:val="21"/>
          <w:lang w:bidi="ar"/>
        </w:rPr>
        <w:t xml:space="preserve">; </w:t>
      </w:r>
      <w:r>
        <w:rPr>
          <w:rFonts w:eastAsia="仿宋"/>
          <w:color w:val="287CA5"/>
          <w:kern w:val="0"/>
          <w:szCs w:val="21"/>
          <w:lang w:bidi="ar"/>
        </w:rPr>
        <w:t>Peng et al., 2016</w:t>
      </w:r>
      <w:r>
        <w:rPr>
          <w:rFonts w:eastAsia="仿宋"/>
          <w:color w:val="000000"/>
          <w:kern w:val="0"/>
          <w:szCs w:val="21"/>
          <w:lang w:bidi="ar"/>
        </w:rPr>
        <w:t xml:space="preserve">, </w:t>
      </w:r>
      <w:r>
        <w:rPr>
          <w:rFonts w:eastAsia="仿宋"/>
          <w:color w:val="287CA5"/>
          <w:kern w:val="0"/>
          <w:szCs w:val="21"/>
          <w:lang w:bidi="ar"/>
        </w:rPr>
        <w:t>2019</w:t>
      </w:r>
      <w:r>
        <w:rPr>
          <w:rFonts w:eastAsia="仿宋"/>
          <w:color w:val="000000"/>
          <w:kern w:val="0"/>
          <w:szCs w:val="21"/>
          <w:lang w:bidi="ar"/>
        </w:rPr>
        <w:t xml:space="preserve">; </w:t>
      </w:r>
      <w:r>
        <w:rPr>
          <w:rFonts w:eastAsia="仿宋"/>
          <w:color w:val="287CA5"/>
          <w:kern w:val="0"/>
          <w:szCs w:val="21"/>
          <w:lang w:bidi="ar"/>
        </w:rPr>
        <w:t>Pouran et al., 2014</w:t>
      </w:r>
      <w:r>
        <w:rPr>
          <w:rFonts w:eastAsia="仿宋"/>
          <w:color w:val="000000"/>
          <w:kern w:val="0"/>
          <w:szCs w:val="21"/>
          <w:lang w:bidi="ar"/>
        </w:rPr>
        <w:t>)</w:t>
      </w:r>
      <w:r>
        <w:rPr>
          <w:rFonts w:eastAsia="仿宋"/>
          <w:szCs w:val="21"/>
        </w:rPr>
        <w:t>。金属离子虽然其催化活性较高，但在均相芬顿反应中其也存在一定的缺点：（1）可溶性金属离子难回收；（2）金属离子在pH过高的环境中会产生金属氢氧化物沉淀进而造成二次污染问题，反应对pH要求较高；（3）一些过渡金属离子如Co</w:t>
      </w:r>
      <w:r>
        <w:rPr>
          <w:rFonts w:eastAsia="仿宋"/>
          <w:szCs w:val="21"/>
          <w:vertAlign w:val="superscript"/>
        </w:rPr>
        <w:t>2+</w:t>
      </w:r>
      <w:r>
        <w:rPr>
          <w:rFonts w:eastAsia="仿宋"/>
          <w:szCs w:val="21"/>
        </w:rPr>
        <w:t>/Co</w:t>
      </w:r>
      <w:r>
        <w:rPr>
          <w:rFonts w:eastAsia="仿宋"/>
          <w:szCs w:val="21"/>
          <w:vertAlign w:val="superscript"/>
        </w:rPr>
        <w:t>3+</w:t>
      </w:r>
      <w:r>
        <w:rPr>
          <w:rFonts w:eastAsia="仿宋"/>
          <w:szCs w:val="21"/>
        </w:rPr>
        <w:t>，对生物和环境健康的危害极其严重。为解决上述问题，将含过渡金属的多相催化剂应用于有机染料的类芬顿氧化降解过程中，以控制金属离子的滤出进而提升催化剂的循环稳定性</w:t>
      </w:r>
      <w:r>
        <w:rPr>
          <w:rFonts w:eastAsia="仿宋"/>
          <w:color w:val="000000"/>
          <w:kern w:val="0"/>
          <w:szCs w:val="21"/>
          <w:lang w:bidi="ar"/>
        </w:rPr>
        <w:t>(</w:t>
      </w:r>
      <w:r>
        <w:rPr>
          <w:rFonts w:eastAsia="仿宋"/>
          <w:color w:val="287CA5"/>
          <w:kern w:val="0"/>
          <w:szCs w:val="21"/>
          <w:lang w:bidi="ar"/>
        </w:rPr>
        <w:t>Bokare and Choi, 2014</w:t>
      </w:r>
      <w:r>
        <w:rPr>
          <w:rFonts w:eastAsia="仿宋"/>
          <w:color w:val="000000"/>
          <w:kern w:val="0"/>
          <w:szCs w:val="21"/>
          <w:lang w:bidi="ar"/>
        </w:rPr>
        <w:t xml:space="preserve">; </w:t>
      </w:r>
      <w:r>
        <w:rPr>
          <w:rFonts w:eastAsia="仿宋"/>
          <w:color w:val="287CA5"/>
          <w:kern w:val="0"/>
          <w:szCs w:val="21"/>
          <w:lang w:bidi="ar"/>
        </w:rPr>
        <w:t>Nidheesh et al., 2018</w:t>
      </w:r>
      <w:r>
        <w:rPr>
          <w:rFonts w:eastAsia="仿宋"/>
          <w:color w:val="000000"/>
          <w:kern w:val="0"/>
          <w:szCs w:val="21"/>
          <w:lang w:bidi="ar"/>
        </w:rPr>
        <w:t xml:space="preserve">; </w:t>
      </w:r>
      <w:r>
        <w:rPr>
          <w:rFonts w:eastAsia="仿宋"/>
          <w:color w:val="287CA5"/>
          <w:kern w:val="0"/>
          <w:szCs w:val="21"/>
          <w:lang w:bidi="ar"/>
        </w:rPr>
        <w:t>Pouran et al., 2014</w:t>
      </w:r>
      <w:r>
        <w:rPr>
          <w:rFonts w:eastAsia="仿宋"/>
          <w:color w:val="000000"/>
          <w:kern w:val="0"/>
          <w:szCs w:val="21"/>
          <w:lang w:bidi="ar"/>
        </w:rPr>
        <w:t xml:space="preserve">; </w:t>
      </w:r>
      <w:r>
        <w:rPr>
          <w:rFonts w:eastAsia="仿宋"/>
          <w:color w:val="287CA5"/>
          <w:kern w:val="0"/>
          <w:szCs w:val="21"/>
          <w:lang w:bidi="ar"/>
        </w:rPr>
        <w:t>Zhu et al., 2019</w:t>
      </w:r>
      <w:r>
        <w:rPr>
          <w:rFonts w:eastAsia="仿宋"/>
          <w:color w:val="000000"/>
          <w:kern w:val="0"/>
          <w:szCs w:val="21"/>
          <w:lang w:bidi="ar"/>
        </w:rPr>
        <w:t>)</w:t>
      </w:r>
      <w:r>
        <w:rPr>
          <w:rFonts w:eastAsia="仿宋"/>
          <w:szCs w:val="21"/>
        </w:rPr>
        <w:t>。含铜固体催化剂具有与铁基催化剂相似的反应机理，因其优异的催化活性和较强的pH耐受性，已受到研究者们的广泛关注（如式3、4）。在类芬顿反应中，与铁类反应相比，铜基材料的反应与有机物中间体产生的配合物不稳定，更易被·OH氧化分解从而实现有机污染物的完全矿化。因此，许多含铜的催化剂，如Cu-Ni、Cu-Fe、Cu-Co双金属氧化物、C-Fe</w:t>
      </w:r>
      <w:r>
        <w:rPr>
          <w:rFonts w:eastAsia="仿宋"/>
          <w:szCs w:val="21"/>
          <w:vertAlign w:val="subscript"/>
        </w:rPr>
        <w:t>2</w:t>
      </w:r>
      <w:r>
        <w:rPr>
          <w:rFonts w:eastAsia="仿宋"/>
          <w:szCs w:val="21"/>
        </w:rPr>
        <w:t>O</w:t>
      </w:r>
      <w:r>
        <w:rPr>
          <w:rFonts w:eastAsia="仿宋"/>
          <w:szCs w:val="21"/>
          <w:vertAlign w:val="subscript"/>
        </w:rPr>
        <w:t>3</w:t>
      </w:r>
      <w:r>
        <w:rPr>
          <w:rFonts w:eastAsia="仿宋"/>
          <w:szCs w:val="21"/>
        </w:rPr>
        <w:t>、CuO-CeO</w:t>
      </w:r>
      <w:r>
        <w:rPr>
          <w:rFonts w:eastAsia="仿宋"/>
          <w:szCs w:val="21"/>
          <w:vertAlign w:val="subscript"/>
        </w:rPr>
        <w:t>2</w:t>
      </w:r>
      <w:r>
        <w:rPr>
          <w:rFonts w:eastAsia="仿宋"/>
          <w:szCs w:val="21"/>
        </w:rPr>
        <w:t>-CeO</w:t>
      </w:r>
      <w:r>
        <w:rPr>
          <w:rFonts w:eastAsia="仿宋"/>
          <w:szCs w:val="21"/>
          <w:vertAlign w:val="subscript"/>
        </w:rPr>
        <w:t>x</w:t>
      </w:r>
      <w:r>
        <w:rPr>
          <w:rFonts w:eastAsia="仿宋"/>
          <w:szCs w:val="21"/>
        </w:rPr>
        <w:t>、CuO-CeO</w:t>
      </w:r>
      <w:r>
        <w:rPr>
          <w:rFonts w:eastAsia="仿宋"/>
          <w:szCs w:val="21"/>
          <w:vertAlign w:val="subscript"/>
        </w:rPr>
        <w:t>x</w:t>
      </w:r>
      <w:r>
        <w:rPr>
          <w:rFonts w:eastAsia="仿宋"/>
          <w:szCs w:val="21"/>
        </w:rPr>
        <w:t>、CuFe</w:t>
      </w:r>
      <w:r>
        <w:rPr>
          <w:rFonts w:eastAsia="仿宋"/>
          <w:szCs w:val="21"/>
          <w:vertAlign w:val="subscript"/>
        </w:rPr>
        <w:t>2</w:t>
      </w:r>
      <w:r>
        <w:rPr>
          <w:rFonts w:eastAsia="仿宋"/>
          <w:szCs w:val="21"/>
        </w:rPr>
        <w:t>O</w:t>
      </w:r>
      <w:r>
        <w:rPr>
          <w:rFonts w:eastAsia="仿宋"/>
          <w:szCs w:val="21"/>
          <w:vertAlign w:val="subscript"/>
        </w:rPr>
        <w:t>4</w:t>
      </w:r>
      <w:r>
        <w:rPr>
          <w:rFonts w:eastAsia="仿宋"/>
          <w:szCs w:val="21"/>
        </w:rPr>
        <w:t>、CuVO</w:t>
      </w:r>
      <w:r>
        <w:rPr>
          <w:rFonts w:eastAsia="仿宋"/>
          <w:szCs w:val="21"/>
          <w:vertAlign w:val="subscript"/>
        </w:rPr>
        <w:t>x</w:t>
      </w:r>
      <w:r>
        <w:rPr>
          <w:rFonts w:eastAsia="仿宋"/>
          <w:szCs w:val="21"/>
        </w:rPr>
        <w:t>、Cu-Fe/SBA-15、Cu-γ-Al</w:t>
      </w:r>
      <w:r>
        <w:rPr>
          <w:rFonts w:eastAsia="仿宋"/>
          <w:szCs w:val="21"/>
          <w:vertAlign w:val="subscript"/>
        </w:rPr>
        <w:t>2</w:t>
      </w:r>
      <w:r>
        <w:rPr>
          <w:rFonts w:eastAsia="仿宋"/>
          <w:szCs w:val="21"/>
        </w:rPr>
        <w:t>O</w:t>
      </w:r>
      <w:r>
        <w:rPr>
          <w:rFonts w:eastAsia="仿宋"/>
          <w:szCs w:val="21"/>
          <w:vertAlign w:val="subscript"/>
        </w:rPr>
        <w:t>3</w:t>
      </w:r>
      <w:r>
        <w:rPr>
          <w:rFonts w:eastAsia="仿宋"/>
          <w:szCs w:val="21"/>
        </w:rPr>
        <w:t>等，由于其较好的催化活性和较深的矿化作用已开发并用于有机污染物的类芬顿降解</w:t>
      </w:r>
      <w:r>
        <w:rPr>
          <w:rFonts w:eastAsia="仿宋"/>
          <w:color w:val="000000"/>
          <w:kern w:val="0"/>
          <w:szCs w:val="21"/>
          <w:lang w:bidi="ar"/>
        </w:rPr>
        <w:t>(</w:t>
      </w:r>
      <w:r>
        <w:rPr>
          <w:rFonts w:eastAsia="仿宋"/>
          <w:color w:val="287CA5"/>
          <w:kern w:val="0"/>
          <w:szCs w:val="21"/>
          <w:lang w:bidi="ar"/>
        </w:rPr>
        <w:t>Ghasemi et al., 2019</w:t>
      </w:r>
      <w:r>
        <w:rPr>
          <w:rFonts w:eastAsia="仿宋"/>
          <w:color w:val="000000"/>
          <w:kern w:val="0"/>
          <w:szCs w:val="21"/>
          <w:lang w:bidi="ar"/>
        </w:rPr>
        <w:t xml:space="preserve">; </w:t>
      </w:r>
      <w:r>
        <w:rPr>
          <w:rFonts w:eastAsia="仿宋"/>
          <w:color w:val="287CA5"/>
          <w:kern w:val="0"/>
          <w:szCs w:val="21"/>
          <w:lang w:bidi="ar"/>
        </w:rPr>
        <w:t>Karthikeyan et al., 2016</w:t>
      </w:r>
      <w:r>
        <w:rPr>
          <w:rFonts w:eastAsia="仿宋"/>
          <w:color w:val="000000"/>
          <w:kern w:val="0"/>
          <w:szCs w:val="21"/>
          <w:lang w:bidi="ar"/>
        </w:rPr>
        <w:t xml:space="preserve">; </w:t>
      </w:r>
      <w:r>
        <w:rPr>
          <w:rFonts w:eastAsia="仿宋"/>
          <w:color w:val="287CA5"/>
          <w:kern w:val="0"/>
          <w:szCs w:val="21"/>
          <w:lang w:bidi="ar"/>
        </w:rPr>
        <w:t>Liang et al., 2019</w:t>
      </w:r>
      <w:r>
        <w:rPr>
          <w:rFonts w:eastAsia="仿宋"/>
          <w:color w:val="000000"/>
          <w:kern w:val="0"/>
          <w:szCs w:val="21"/>
          <w:lang w:bidi="ar"/>
        </w:rPr>
        <w:t xml:space="preserve">; </w:t>
      </w:r>
      <w:r>
        <w:rPr>
          <w:rFonts w:eastAsia="仿宋"/>
          <w:color w:val="287CA5"/>
          <w:kern w:val="0"/>
          <w:szCs w:val="21"/>
          <w:lang w:bidi="ar"/>
        </w:rPr>
        <w:t>Lyu et al., 2015</w:t>
      </w:r>
      <w:r>
        <w:rPr>
          <w:rFonts w:eastAsia="仿宋"/>
          <w:color w:val="000000"/>
          <w:kern w:val="0"/>
          <w:szCs w:val="21"/>
          <w:lang w:bidi="ar"/>
        </w:rPr>
        <w:t xml:space="preserve">, </w:t>
      </w:r>
      <w:r>
        <w:rPr>
          <w:rFonts w:eastAsia="仿宋"/>
          <w:color w:val="287CA5"/>
          <w:kern w:val="0"/>
          <w:szCs w:val="21"/>
          <w:lang w:bidi="ar"/>
        </w:rPr>
        <w:t>2016</w:t>
      </w:r>
      <w:r>
        <w:rPr>
          <w:rFonts w:eastAsia="仿宋"/>
          <w:color w:val="000000"/>
          <w:kern w:val="0"/>
          <w:szCs w:val="21"/>
          <w:lang w:bidi="ar"/>
        </w:rPr>
        <w:t xml:space="preserve">, </w:t>
      </w:r>
      <w:r>
        <w:rPr>
          <w:rFonts w:eastAsia="仿宋"/>
          <w:color w:val="287CA5"/>
          <w:kern w:val="0"/>
          <w:szCs w:val="21"/>
          <w:lang w:bidi="ar"/>
        </w:rPr>
        <w:t>2017</w:t>
      </w:r>
      <w:r>
        <w:rPr>
          <w:rFonts w:eastAsia="仿宋"/>
          <w:color w:val="000000"/>
          <w:kern w:val="0"/>
          <w:szCs w:val="21"/>
          <w:lang w:bidi="ar"/>
        </w:rPr>
        <w:t xml:space="preserve">; </w:t>
      </w:r>
      <w:r>
        <w:rPr>
          <w:rFonts w:eastAsia="仿宋"/>
          <w:color w:val="287CA5"/>
          <w:kern w:val="0"/>
          <w:szCs w:val="21"/>
          <w:lang w:bidi="ar"/>
        </w:rPr>
        <w:t>Miao et al., 2019</w:t>
      </w:r>
      <w:r>
        <w:rPr>
          <w:rFonts w:eastAsia="仿宋"/>
          <w:color w:val="000000"/>
          <w:kern w:val="0"/>
          <w:szCs w:val="21"/>
          <w:lang w:bidi="ar"/>
        </w:rPr>
        <w:t xml:space="preserve">; </w:t>
      </w:r>
      <w:r>
        <w:rPr>
          <w:rFonts w:eastAsia="仿宋"/>
          <w:color w:val="287CA5"/>
          <w:kern w:val="0"/>
          <w:szCs w:val="21"/>
          <w:lang w:bidi="ar"/>
        </w:rPr>
        <w:t>Wang et al., 2018</w:t>
      </w:r>
      <w:r>
        <w:rPr>
          <w:rFonts w:eastAsia="仿宋"/>
          <w:color w:val="000000"/>
          <w:kern w:val="0"/>
          <w:szCs w:val="21"/>
          <w:lang w:bidi="ar"/>
        </w:rPr>
        <w:t xml:space="preserve">; </w:t>
      </w:r>
      <w:r>
        <w:rPr>
          <w:rFonts w:eastAsia="仿宋"/>
          <w:color w:val="287CA5"/>
          <w:kern w:val="0"/>
          <w:szCs w:val="21"/>
          <w:lang w:bidi="ar"/>
        </w:rPr>
        <w:t>Yan et al., 2019</w:t>
      </w:r>
      <w:r>
        <w:rPr>
          <w:rFonts w:eastAsia="仿宋"/>
          <w:color w:val="000000"/>
          <w:kern w:val="0"/>
          <w:szCs w:val="21"/>
          <w:lang w:bidi="ar"/>
        </w:rPr>
        <w:t xml:space="preserve">; </w:t>
      </w:r>
      <w:r>
        <w:rPr>
          <w:rFonts w:eastAsia="仿宋"/>
          <w:color w:val="287CA5"/>
          <w:kern w:val="0"/>
          <w:szCs w:val="21"/>
          <w:lang w:bidi="ar"/>
        </w:rPr>
        <w:t>Yu et al., 2018</w:t>
      </w:r>
      <w:r>
        <w:rPr>
          <w:rFonts w:eastAsia="仿宋"/>
          <w:color w:val="000000"/>
          <w:kern w:val="0"/>
          <w:szCs w:val="21"/>
          <w:lang w:bidi="ar"/>
        </w:rPr>
        <w:t xml:space="preserve">; </w:t>
      </w:r>
      <w:r>
        <w:rPr>
          <w:rFonts w:eastAsia="仿宋"/>
          <w:color w:val="287CA5"/>
          <w:kern w:val="0"/>
          <w:szCs w:val="21"/>
          <w:lang w:bidi="ar"/>
        </w:rPr>
        <w:t>Zhang et al., 2020</w:t>
      </w:r>
      <w:r>
        <w:rPr>
          <w:rFonts w:eastAsia="仿宋"/>
          <w:color w:val="000000"/>
          <w:kern w:val="0"/>
          <w:szCs w:val="21"/>
          <w:lang w:bidi="ar"/>
        </w:rPr>
        <w:t>)。</w:t>
      </w:r>
      <w:r>
        <w:rPr>
          <w:rFonts w:eastAsia="仿宋"/>
          <w:szCs w:val="21"/>
        </w:rPr>
        <w:t>然而，含铜多相催化剂在有机污染物的芬顿样降解过程中往往存在一些缺陷。首先，在均相催化体系中，含铜固体催化剂的催化活性远远低于Cu</w:t>
      </w:r>
      <w:r>
        <w:rPr>
          <w:rFonts w:eastAsia="仿宋"/>
          <w:szCs w:val="21"/>
          <w:vertAlign w:val="superscript"/>
        </w:rPr>
        <w:t>2+</w:t>
      </w:r>
      <w:r>
        <w:rPr>
          <w:rFonts w:eastAsia="仿宋"/>
          <w:szCs w:val="21"/>
        </w:rPr>
        <w:t>离子的催化活性。由于多相芬顿反应总是涉及吸附、界面反应和脱附等复杂的过程，固体催化剂的催化活性受到其理化性质的极大限制，如孔隙结构、表面积、吸附能力、暴露的催化位点和氧化还原活性等。另一方面，目前所报道的含铜固体催化剂其催化稳定性不太理想，且Cu</w:t>
      </w:r>
      <w:r>
        <w:rPr>
          <w:rFonts w:eastAsia="仿宋"/>
          <w:szCs w:val="21"/>
          <w:vertAlign w:val="superscript"/>
        </w:rPr>
        <w:t>2+</w:t>
      </w:r>
      <w:r>
        <w:rPr>
          <w:rFonts w:eastAsia="仿宋"/>
          <w:szCs w:val="21"/>
        </w:rPr>
        <w:t>离子在水溶液中浸出率高，因此催化稳定性较差。如表S1所示，大部分催化剂在经过5次催化循环后，催化活性下降了2.0%以上</w:t>
      </w:r>
      <w:r>
        <w:rPr>
          <w:rFonts w:eastAsia="仿宋"/>
          <w:color w:val="000000"/>
          <w:kern w:val="0"/>
          <w:szCs w:val="21"/>
          <w:lang w:bidi="ar"/>
        </w:rPr>
        <w:t>(</w:t>
      </w:r>
      <w:r>
        <w:rPr>
          <w:rFonts w:eastAsia="仿宋"/>
          <w:color w:val="287CA5"/>
          <w:kern w:val="0"/>
          <w:szCs w:val="21"/>
          <w:lang w:bidi="ar"/>
        </w:rPr>
        <w:t>Kong et al., 2016</w:t>
      </w:r>
      <w:r>
        <w:rPr>
          <w:rFonts w:eastAsia="仿宋"/>
          <w:color w:val="000000"/>
          <w:kern w:val="0"/>
          <w:szCs w:val="21"/>
          <w:lang w:bidi="ar"/>
        </w:rPr>
        <w:t xml:space="preserve">; </w:t>
      </w:r>
      <w:r>
        <w:rPr>
          <w:rFonts w:eastAsia="仿宋"/>
          <w:color w:val="287CA5"/>
          <w:kern w:val="0"/>
          <w:szCs w:val="21"/>
          <w:lang w:bidi="ar"/>
        </w:rPr>
        <w:t>Liang et al., 2019</w:t>
      </w:r>
      <w:r>
        <w:rPr>
          <w:rFonts w:eastAsia="仿宋"/>
          <w:color w:val="000000"/>
          <w:kern w:val="0"/>
          <w:szCs w:val="21"/>
          <w:lang w:bidi="ar"/>
        </w:rPr>
        <w:t xml:space="preserve">; </w:t>
      </w:r>
      <w:r>
        <w:rPr>
          <w:rFonts w:eastAsia="仿宋"/>
          <w:color w:val="287CA5"/>
          <w:kern w:val="0"/>
          <w:szCs w:val="21"/>
          <w:lang w:bidi="ar"/>
        </w:rPr>
        <w:t>Ling et al., 2014</w:t>
      </w:r>
      <w:r>
        <w:rPr>
          <w:rFonts w:eastAsia="仿宋"/>
          <w:color w:val="000000"/>
          <w:kern w:val="0"/>
          <w:szCs w:val="21"/>
          <w:lang w:bidi="ar"/>
        </w:rPr>
        <w:t xml:space="preserve">; </w:t>
      </w:r>
      <w:r>
        <w:rPr>
          <w:rFonts w:eastAsia="仿宋"/>
          <w:color w:val="287CA5"/>
          <w:kern w:val="0"/>
          <w:szCs w:val="21"/>
          <w:lang w:bidi="ar"/>
        </w:rPr>
        <w:t>Lyu et al., 2015</w:t>
      </w:r>
      <w:r>
        <w:rPr>
          <w:rFonts w:eastAsia="仿宋"/>
          <w:color w:val="000000"/>
          <w:kern w:val="0"/>
          <w:szCs w:val="21"/>
          <w:lang w:bidi="ar"/>
        </w:rPr>
        <w:t xml:space="preserve">; </w:t>
      </w:r>
      <w:r>
        <w:rPr>
          <w:rFonts w:eastAsia="仿宋"/>
          <w:color w:val="287CA5"/>
          <w:kern w:val="0"/>
          <w:szCs w:val="21"/>
          <w:lang w:bidi="ar"/>
        </w:rPr>
        <w:t>Ren et al., 2019</w:t>
      </w:r>
      <w:r>
        <w:rPr>
          <w:rFonts w:eastAsia="仿宋"/>
          <w:color w:val="000000"/>
          <w:kern w:val="0"/>
          <w:szCs w:val="21"/>
          <w:lang w:bidi="ar"/>
        </w:rPr>
        <w:t xml:space="preserve">; </w:t>
      </w:r>
      <w:r>
        <w:rPr>
          <w:rFonts w:eastAsia="仿宋"/>
          <w:color w:val="287CA5"/>
          <w:kern w:val="0"/>
          <w:szCs w:val="21"/>
          <w:lang w:bidi="ar"/>
        </w:rPr>
        <w:t>Xia et al., 2011</w:t>
      </w:r>
      <w:r>
        <w:rPr>
          <w:rFonts w:eastAsia="仿宋"/>
          <w:color w:val="000000"/>
          <w:kern w:val="0"/>
          <w:szCs w:val="21"/>
          <w:lang w:bidi="ar"/>
        </w:rPr>
        <w:t xml:space="preserve">; </w:t>
      </w:r>
      <w:r>
        <w:rPr>
          <w:rFonts w:eastAsia="仿宋"/>
          <w:color w:val="287CA5"/>
          <w:kern w:val="0"/>
          <w:szCs w:val="21"/>
          <w:lang w:bidi="ar"/>
        </w:rPr>
        <w:t>Yan et al., 2019</w:t>
      </w:r>
      <w:r>
        <w:rPr>
          <w:rFonts w:eastAsia="仿宋"/>
          <w:color w:val="000000"/>
          <w:kern w:val="0"/>
          <w:szCs w:val="21"/>
          <w:lang w:bidi="ar"/>
        </w:rPr>
        <w:t xml:space="preserve">; </w:t>
      </w:r>
      <w:r>
        <w:rPr>
          <w:rFonts w:eastAsia="仿宋"/>
          <w:color w:val="287CA5"/>
          <w:kern w:val="0"/>
          <w:szCs w:val="21"/>
          <w:lang w:bidi="ar"/>
        </w:rPr>
        <w:t>Zhang et al., 2020</w:t>
      </w:r>
      <w:r>
        <w:rPr>
          <w:rFonts w:eastAsia="仿宋"/>
          <w:color w:val="000000"/>
          <w:kern w:val="0"/>
          <w:szCs w:val="21"/>
          <w:lang w:bidi="ar"/>
        </w:rPr>
        <w:t>)。</w:t>
      </w:r>
      <w:r>
        <w:rPr>
          <w:rFonts w:eastAsia="仿宋"/>
          <w:szCs w:val="21"/>
        </w:rPr>
        <w:t>因此，开发一种具有特殊结构且稳定性好的新型含铜固体催化剂对AOPs处理有机废水方面具有重要意义。</w:t>
      </w:r>
    </w:p>
    <w:p>
      <w:pPr>
        <w:widowControl/>
        <w:spacing w:before="156" w:beforeLines="50" w:line="360" w:lineRule="exact"/>
        <w:jc w:val="center"/>
        <w:rPr>
          <w:rFonts w:eastAsia="仿宋"/>
          <w:szCs w:val="21"/>
        </w:rPr>
      </w:pPr>
      <w:r>
        <w:rPr>
          <w:rFonts w:eastAsia="仿宋"/>
          <w:szCs w:val="21"/>
        </w:rPr>
        <w:t>Fe</w:t>
      </w:r>
      <w:r>
        <w:rPr>
          <w:rFonts w:eastAsia="仿宋"/>
          <w:szCs w:val="21"/>
          <w:vertAlign w:val="superscript"/>
        </w:rPr>
        <w:t>2+</w:t>
      </w:r>
      <w:r>
        <w:rPr>
          <w:rFonts w:eastAsia="仿宋"/>
          <w:szCs w:val="21"/>
        </w:rPr>
        <w:t xml:space="preserve"> + 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 xml:space="preserve"> → Fe</w:t>
      </w:r>
      <w:r>
        <w:rPr>
          <w:rFonts w:eastAsia="仿宋"/>
          <w:szCs w:val="21"/>
          <w:vertAlign w:val="superscript"/>
        </w:rPr>
        <w:t>3+</w:t>
      </w:r>
      <w:r>
        <w:rPr>
          <w:rFonts w:eastAsia="仿宋"/>
          <w:szCs w:val="21"/>
        </w:rPr>
        <w:t xml:space="preserve"> + ·OH + OH</w:t>
      </w:r>
      <w:r>
        <w:rPr>
          <w:rFonts w:eastAsia="仿宋"/>
          <w:szCs w:val="21"/>
          <w:vertAlign w:val="superscript"/>
        </w:rPr>
        <w:t>–</w:t>
      </w:r>
      <w:r>
        <w:rPr>
          <w:rFonts w:eastAsia="仿宋"/>
          <w:szCs w:val="21"/>
        </w:rPr>
        <w:t xml:space="preserve"> (</w:t>
      </w:r>
      <w:r>
        <w:rPr>
          <w:rFonts w:eastAsia="仿宋"/>
          <w:i/>
          <w:iCs/>
          <w:szCs w:val="21"/>
        </w:rPr>
        <w:t>k</w:t>
      </w:r>
      <w:r>
        <w:rPr>
          <w:rFonts w:eastAsia="仿宋"/>
          <w:szCs w:val="21"/>
        </w:rPr>
        <w:t xml:space="preserve"> = 63~76 M</w:t>
      </w:r>
      <w:r>
        <w:rPr>
          <w:rFonts w:eastAsia="仿宋"/>
          <w:szCs w:val="21"/>
          <w:vertAlign w:val="superscript"/>
        </w:rPr>
        <w:t>–1</w:t>
      </w:r>
      <w:r>
        <w:rPr>
          <w:rFonts w:eastAsia="仿宋"/>
          <w:szCs w:val="21"/>
        </w:rPr>
        <w:t xml:space="preserve"> ·s</w:t>
      </w:r>
      <w:r>
        <w:rPr>
          <w:rFonts w:eastAsia="微软雅黑"/>
          <w:szCs w:val="21"/>
          <w:vertAlign w:val="superscript"/>
        </w:rPr>
        <w:t>−</w:t>
      </w:r>
      <w:r>
        <w:rPr>
          <w:rFonts w:eastAsia="仿宋"/>
          <w:szCs w:val="21"/>
          <w:vertAlign w:val="superscript"/>
        </w:rPr>
        <w:t>1</w:t>
      </w:r>
      <w:r>
        <w:rPr>
          <w:rFonts w:eastAsia="仿宋"/>
          <w:szCs w:val="21"/>
        </w:rPr>
        <w:t xml:space="preserve"> )         (1)</w:t>
      </w:r>
    </w:p>
    <w:p>
      <w:pPr>
        <w:widowControl/>
        <w:spacing w:before="156" w:beforeLines="50" w:line="360" w:lineRule="exact"/>
        <w:jc w:val="center"/>
        <w:rPr>
          <w:rFonts w:eastAsia="仿宋"/>
          <w:szCs w:val="21"/>
        </w:rPr>
      </w:pPr>
      <w:r>
        <w:rPr>
          <w:rFonts w:eastAsia="仿宋"/>
          <w:szCs w:val="21"/>
        </w:rPr>
        <w:t>Fe</w:t>
      </w:r>
      <w:r>
        <w:rPr>
          <w:rFonts w:eastAsia="仿宋"/>
          <w:szCs w:val="21"/>
          <w:vertAlign w:val="superscript"/>
        </w:rPr>
        <w:t>3+</w:t>
      </w:r>
      <w:r>
        <w:rPr>
          <w:rFonts w:eastAsia="仿宋"/>
          <w:szCs w:val="21"/>
        </w:rPr>
        <w:t xml:space="preserve"> + 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 xml:space="preserve"> → Fe</w:t>
      </w:r>
      <w:r>
        <w:rPr>
          <w:rFonts w:eastAsia="仿宋"/>
          <w:szCs w:val="21"/>
          <w:vertAlign w:val="superscript"/>
        </w:rPr>
        <w:t>2+</w:t>
      </w:r>
      <w:r>
        <w:rPr>
          <w:rFonts w:eastAsia="仿宋"/>
          <w:szCs w:val="21"/>
        </w:rPr>
        <w:t xml:space="preserve"> + ·O</w:t>
      </w:r>
      <w:r>
        <w:rPr>
          <w:rFonts w:eastAsia="仿宋"/>
          <w:szCs w:val="21"/>
          <w:vertAlign w:val="subscript"/>
        </w:rPr>
        <w:t>2</w:t>
      </w:r>
      <w:r>
        <w:rPr>
          <w:rFonts w:eastAsia="微软雅黑"/>
          <w:szCs w:val="21"/>
          <w:vertAlign w:val="superscript"/>
        </w:rPr>
        <w:t>−</w:t>
      </w:r>
      <w:r>
        <w:rPr>
          <w:rFonts w:eastAsia="仿宋"/>
          <w:szCs w:val="21"/>
        </w:rPr>
        <w:t xml:space="preserve"> + H</w:t>
      </w:r>
      <w:r>
        <w:rPr>
          <w:rFonts w:eastAsia="仿宋"/>
          <w:szCs w:val="21"/>
          <w:vertAlign w:val="subscript"/>
        </w:rPr>
        <w:t>2</w:t>
      </w:r>
      <w:r>
        <w:rPr>
          <w:rFonts w:eastAsia="仿宋"/>
          <w:szCs w:val="21"/>
        </w:rPr>
        <w:t>O (</w:t>
      </w:r>
      <w:r>
        <w:rPr>
          <w:rFonts w:eastAsia="仿宋"/>
          <w:i/>
          <w:iCs/>
          <w:szCs w:val="21"/>
        </w:rPr>
        <w:t>k</w:t>
      </w:r>
      <w:r>
        <w:rPr>
          <w:rFonts w:eastAsia="仿宋"/>
          <w:szCs w:val="21"/>
        </w:rPr>
        <w:t xml:space="preserve"> = 0.001~0.01 M</w:t>
      </w:r>
      <w:r>
        <w:rPr>
          <w:rFonts w:eastAsia="仿宋"/>
          <w:szCs w:val="21"/>
          <w:vertAlign w:val="superscript"/>
        </w:rPr>
        <w:t>–1</w:t>
      </w:r>
      <w:r>
        <w:rPr>
          <w:rFonts w:eastAsia="仿宋"/>
          <w:szCs w:val="21"/>
        </w:rPr>
        <w:t xml:space="preserve"> ·s</w:t>
      </w:r>
      <w:r>
        <w:rPr>
          <w:rFonts w:eastAsia="微软雅黑"/>
          <w:szCs w:val="21"/>
          <w:vertAlign w:val="superscript"/>
        </w:rPr>
        <w:t>−</w:t>
      </w:r>
      <w:r>
        <w:rPr>
          <w:rFonts w:eastAsia="仿宋"/>
          <w:szCs w:val="21"/>
          <w:vertAlign w:val="superscript"/>
        </w:rPr>
        <w:t>1</w:t>
      </w:r>
      <w:r>
        <w:rPr>
          <w:rFonts w:eastAsia="仿宋"/>
          <w:szCs w:val="21"/>
        </w:rPr>
        <w:t xml:space="preserve"> )     (2)</w:t>
      </w:r>
    </w:p>
    <w:p>
      <w:pPr>
        <w:widowControl/>
        <w:spacing w:before="156" w:beforeLines="50" w:line="360" w:lineRule="exact"/>
        <w:jc w:val="center"/>
        <w:rPr>
          <w:rFonts w:eastAsia="仿宋"/>
          <w:szCs w:val="21"/>
        </w:rPr>
      </w:pPr>
      <w:r>
        <w:rPr>
          <w:rFonts w:eastAsia="仿宋"/>
          <w:szCs w:val="21"/>
        </w:rPr>
        <w:t>Cu</w:t>
      </w:r>
      <w:r>
        <w:rPr>
          <w:rFonts w:eastAsia="仿宋"/>
          <w:szCs w:val="21"/>
          <w:vertAlign w:val="superscript"/>
        </w:rPr>
        <w:t>+</w:t>
      </w:r>
      <w:r>
        <w:rPr>
          <w:rFonts w:eastAsia="仿宋"/>
          <w:szCs w:val="21"/>
        </w:rPr>
        <w:t xml:space="preserve"> + 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 xml:space="preserve"> → Cu</w:t>
      </w:r>
      <w:r>
        <w:rPr>
          <w:rFonts w:eastAsia="仿宋"/>
          <w:szCs w:val="21"/>
          <w:vertAlign w:val="superscript"/>
        </w:rPr>
        <w:t>2+</w:t>
      </w:r>
      <w:r>
        <w:rPr>
          <w:rFonts w:eastAsia="仿宋"/>
          <w:szCs w:val="21"/>
        </w:rPr>
        <w:t xml:space="preserve"> + ·OH + OH</w:t>
      </w:r>
      <w:r>
        <w:rPr>
          <w:rFonts w:eastAsia="仿宋"/>
          <w:szCs w:val="21"/>
          <w:vertAlign w:val="superscript"/>
        </w:rPr>
        <w:t>–</w:t>
      </w:r>
      <w:r>
        <w:rPr>
          <w:rFonts w:eastAsia="仿宋"/>
          <w:szCs w:val="21"/>
        </w:rPr>
        <w:t xml:space="preserve"> (</w:t>
      </w:r>
      <w:r>
        <w:rPr>
          <w:rFonts w:eastAsia="仿宋"/>
          <w:i/>
          <w:iCs/>
          <w:szCs w:val="21"/>
        </w:rPr>
        <w:t>k</w:t>
      </w:r>
      <w:r>
        <w:rPr>
          <w:rFonts w:eastAsia="仿宋"/>
          <w:szCs w:val="21"/>
        </w:rPr>
        <w:t xml:space="preserve"> = 1.0 × 104 M</w:t>
      </w:r>
      <w:r>
        <w:rPr>
          <w:rFonts w:eastAsia="仿宋"/>
          <w:szCs w:val="21"/>
          <w:vertAlign w:val="superscript"/>
        </w:rPr>
        <w:t>–1</w:t>
      </w:r>
      <w:r>
        <w:rPr>
          <w:rFonts w:eastAsia="仿宋"/>
          <w:szCs w:val="21"/>
        </w:rPr>
        <w:t xml:space="preserve"> ·s</w:t>
      </w:r>
      <w:r>
        <w:rPr>
          <w:rFonts w:eastAsia="微软雅黑"/>
          <w:szCs w:val="21"/>
          <w:vertAlign w:val="superscript"/>
        </w:rPr>
        <w:t>−</w:t>
      </w:r>
      <w:r>
        <w:rPr>
          <w:rFonts w:eastAsia="仿宋"/>
          <w:szCs w:val="21"/>
          <w:vertAlign w:val="superscript"/>
        </w:rPr>
        <w:t>1</w:t>
      </w:r>
      <w:r>
        <w:rPr>
          <w:rFonts w:eastAsia="仿宋"/>
          <w:szCs w:val="21"/>
        </w:rPr>
        <w:t xml:space="preserve"> )       (3)</w:t>
      </w:r>
    </w:p>
    <w:p>
      <w:pPr>
        <w:widowControl/>
        <w:spacing w:before="156" w:beforeLines="50" w:line="360" w:lineRule="exact"/>
        <w:jc w:val="center"/>
        <w:rPr>
          <w:rFonts w:eastAsia="仿宋"/>
          <w:szCs w:val="21"/>
        </w:rPr>
      </w:pPr>
      <w:r>
        <w:rPr>
          <w:rFonts w:eastAsia="仿宋"/>
          <w:szCs w:val="21"/>
        </w:rPr>
        <w:t>Cu</w:t>
      </w:r>
      <w:r>
        <w:rPr>
          <w:rFonts w:eastAsia="仿宋"/>
          <w:szCs w:val="21"/>
          <w:vertAlign w:val="superscript"/>
        </w:rPr>
        <w:t>2+</w:t>
      </w:r>
      <w:r>
        <w:rPr>
          <w:rFonts w:eastAsia="仿宋"/>
          <w:szCs w:val="21"/>
        </w:rPr>
        <w:t xml:space="preserve"> + 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 xml:space="preserve"> → Cu</w:t>
      </w:r>
      <w:r>
        <w:rPr>
          <w:rFonts w:eastAsia="仿宋"/>
          <w:szCs w:val="21"/>
          <w:vertAlign w:val="superscript"/>
        </w:rPr>
        <w:t>+</w:t>
      </w:r>
      <w:r>
        <w:rPr>
          <w:rFonts w:eastAsia="仿宋"/>
          <w:szCs w:val="21"/>
        </w:rPr>
        <w:t xml:space="preserve"> + ·O</w:t>
      </w:r>
      <w:r>
        <w:rPr>
          <w:rFonts w:eastAsia="仿宋"/>
          <w:szCs w:val="21"/>
          <w:vertAlign w:val="subscript"/>
        </w:rPr>
        <w:t>2</w:t>
      </w:r>
      <w:r>
        <w:rPr>
          <w:rFonts w:eastAsia="微软雅黑"/>
          <w:szCs w:val="21"/>
          <w:vertAlign w:val="superscript"/>
        </w:rPr>
        <w:t>−</w:t>
      </w:r>
      <w:r>
        <w:rPr>
          <w:rFonts w:eastAsia="仿宋"/>
          <w:szCs w:val="21"/>
        </w:rPr>
        <w:t xml:space="preserve"> + H</w:t>
      </w:r>
      <w:r>
        <w:rPr>
          <w:rFonts w:eastAsia="仿宋"/>
          <w:szCs w:val="21"/>
          <w:vertAlign w:val="subscript"/>
        </w:rPr>
        <w:t>2</w:t>
      </w:r>
      <w:r>
        <w:rPr>
          <w:rFonts w:eastAsia="仿宋"/>
          <w:szCs w:val="21"/>
        </w:rPr>
        <w:t>O (</w:t>
      </w:r>
      <w:r>
        <w:rPr>
          <w:rFonts w:eastAsia="仿宋"/>
          <w:i/>
          <w:iCs/>
          <w:szCs w:val="21"/>
        </w:rPr>
        <w:t>k</w:t>
      </w:r>
      <w:r>
        <w:rPr>
          <w:rFonts w:eastAsia="仿宋"/>
          <w:szCs w:val="21"/>
        </w:rPr>
        <w:t xml:space="preserve"> = 4.6 × 102 M</w:t>
      </w:r>
      <w:r>
        <w:rPr>
          <w:rFonts w:eastAsia="仿宋"/>
          <w:szCs w:val="21"/>
          <w:vertAlign w:val="superscript"/>
        </w:rPr>
        <w:t>–1</w:t>
      </w:r>
      <w:r>
        <w:rPr>
          <w:rFonts w:eastAsia="仿宋"/>
          <w:szCs w:val="21"/>
        </w:rPr>
        <w:t xml:space="preserve"> ·s</w:t>
      </w:r>
      <w:r>
        <w:rPr>
          <w:rFonts w:eastAsia="微软雅黑"/>
          <w:szCs w:val="21"/>
          <w:vertAlign w:val="superscript"/>
        </w:rPr>
        <w:t>−</w:t>
      </w:r>
      <w:r>
        <w:rPr>
          <w:rFonts w:eastAsia="仿宋"/>
          <w:szCs w:val="21"/>
          <w:vertAlign w:val="superscript"/>
        </w:rPr>
        <w:t>1</w:t>
      </w:r>
      <w:r>
        <w:rPr>
          <w:rFonts w:eastAsia="仿宋"/>
          <w:szCs w:val="21"/>
        </w:rPr>
        <w:t xml:space="preserve"> )       (4)</w:t>
      </w:r>
    </w:p>
    <w:p>
      <w:pPr>
        <w:widowControl/>
        <w:spacing w:before="156" w:beforeLines="50" w:line="360" w:lineRule="exact"/>
        <w:ind w:firstLine="420" w:firstLineChars="200"/>
        <w:jc w:val="left"/>
        <w:rPr>
          <w:rFonts w:eastAsia="仿宋"/>
          <w:szCs w:val="21"/>
        </w:rPr>
      </w:pPr>
      <w:r>
        <w:rPr>
          <w:rFonts w:eastAsia="仿宋"/>
          <w:szCs w:val="21"/>
        </w:rPr>
        <w:t>过渡金属硫化物由于其可变的价、丰富的结构和在水溶液中的低溶解度，因而在处理有机废水具有显著的应用前景和潜力。MoS</w:t>
      </w:r>
      <w:r>
        <w:rPr>
          <w:rFonts w:eastAsia="仿宋"/>
          <w:szCs w:val="21"/>
          <w:vertAlign w:val="subscript"/>
        </w:rPr>
        <w:t>2</w:t>
      </w:r>
      <w:r>
        <w:rPr>
          <w:rFonts w:eastAsia="仿宋"/>
          <w:szCs w:val="21"/>
        </w:rPr>
        <w:t>、WS</w:t>
      </w:r>
      <w:r>
        <w:rPr>
          <w:rFonts w:eastAsia="仿宋"/>
          <w:szCs w:val="21"/>
          <w:vertAlign w:val="subscript"/>
        </w:rPr>
        <w:t>2</w:t>
      </w:r>
      <w:r>
        <w:rPr>
          <w:rFonts w:eastAsia="仿宋"/>
          <w:szCs w:val="21"/>
        </w:rPr>
        <w:t>、Cr</w:t>
      </w:r>
      <w:r>
        <w:rPr>
          <w:rFonts w:eastAsia="仿宋"/>
          <w:szCs w:val="21"/>
          <w:vertAlign w:val="subscript"/>
        </w:rPr>
        <w:t>2</w:t>
      </w:r>
      <w:r>
        <w:rPr>
          <w:rFonts w:eastAsia="仿宋"/>
          <w:szCs w:val="21"/>
        </w:rPr>
        <w:t>S</w:t>
      </w:r>
      <w:r>
        <w:rPr>
          <w:rFonts w:eastAsia="仿宋"/>
          <w:szCs w:val="21"/>
          <w:vertAlign w:val="subscript"/>
        </w:rPr>
        <w:t>3</w:t>
      </w:r>
      <w:r>
        <w:rPr>
          <w:rFonts w:eastAsia="仿宋"/>
          <w:szCs w:val="21"/>
        </w:rPr>
        <w:t>、CoS</w:t>
      </w:r>
      <w:r>
        <w:rPr>
          <w:rFonts w:eastAsia="仿宋"/>
          <w:szCs w:val="21"/>
          <w:vertAlign w:val="subscript"/>
        </w:rPr>
        <w:t>2</w:t>
      </w:r>
      <w:r>
        <w:rPr>
          <w:rFonts w:eastAsia="仿宋"/>
          <w:szCs w:val="21"/>
        </w:rPr>
        <w:t>、PbS和ZnS已被证明是稳定且高效的助催化剂，可促进光辅助和均相类芬顿降解持久性污染物的电子转移过程</w:t>
      </w:r>
      <w:r>
        <w:rPr>
          <w:rFonts w:eastAsia="仿宋"/>
          <w:color w:val="000000"/>
          <w:kern w:val="0"/>
          <w:szCs w:val="21"/>
          <w:lang w:bidi="ar"/>
        </w:rPr>
        <w:t>(</w:t>
      </w:r>
      <w:r>
        <w:rPr>
          <w:rFonts w:eastAsia="仿宋"/>
          <w:color w:val="287CA5"/>
          <w:kern w:val="0"/>
          <w:szCs w:val="21"/>
          <w:lang w:bidi="ar"/>
        </w:rPr>
        <w:t>Dong et al., 2018</w:t>
      </w:r>
      <w:r>
        <w:rPr>
          <w:rFonts w:eastAsia="仿宋"/>
          <w:color w:val="000000"/>
          <w:kern w:val="0"/>
          <w:szCs w:val="21"/>
          <w:lang w:bidi="ar"/>
        </w:rPr>
        <w:t xml:space="preserve">; </w:t>
      </w:r>
      <w:r>
        <w:rPr>
          <w:rFonts w:eastAsia="仿宋"/>
          <w:color w:val="287CA5"/>
          <w:kern w:val="0"/>
          <w:szCs w:val="21"/>
          <w:lang w:bidi="ar"/>
        </w:rPr>
        <w:t>Xing et al., 2018</w:t>
      </w:r>
      <w:r>
        <w:rPr>
          <w:rFonts w:eastAsia="仿宋"/>
          <w:color w:val="000000"/>
          <w:kern w:val="0"/>
          <w:szCs w:val="21"/>
          <w:lang w:bidi="ar"/>
        </w:rPr>
        <w:t>)</w:t>
      </w:r>
      <w:r>
        <w:rPr>
          <w:rFonts w:eastAsia="仿宋"/>
          <w:szCs w:val="21"/>
        </w:rPr>
        <w:t>。氧化铜作为一种典型的氧化还原催化剂，已广泛应用于偶联反应、CO氧化和二氧化碳光还原，但由于其在水体系中稳定性较差，因而不太适合Fenton反应</w:t>
      </w:r>
      <w:r>
        <w:rPr>
          <w:rFonts w:eastAsia="仿宋"/>
          <w:color w:val="000000"/>
          <w:kern w:val="0"/>
          <w:szCs w:val="21"/>
          <w:lang w:bidi="ar"/>
        </w:rPr>
        <w:t>(</w:t>
      </w:r>
      <w:r>
        <w:rPr>
          <w:rFonts w:eastAsia="仿宋"/>
          <w:color w:val="287CA5"/>
          <w:kern w:val="0"/>
          <w:szCs w:val="21"/>
          <w:lang w:bidi="ar"/>
        </w:rPr>
        <w:t>Gusain et al., 2016</w:t>
      </w:r>
      <w:r>
        <w:rPr>
          <w:rFonts w:eastAsia="仿宋"/>
          <w:color w:val="000000"/>
          <w:kern w:val="0"/>
          <w:szCs w:val="21"/>
          <w:lang w:bidi="ar"/>
        </w:rPr>
        <w:t xml:space="preserve">; </w:t>
      </w:r>
      <w:r>
        <w:rPr>
          <w:rFonts w:eastAsia="仿宋"/>
          <w:color w:val="287CA5"/>
          <w:kern w:val="0"/>
          <w:szCs w:val="21"/>
          <w:lang w:bidi="ar"/>
        </w:rPr>
        <w:t>Kou et al., 2012</w:t>
      </w:r>
      <w:r>
        <w:rPr>
          <w:rFonts w:eastAsia="仿宋"/>
          <w:color w:val="000000"/>
          <w:kern w:val="0"/>
          <w:szCs w:val="21"/>
          <w:lang w:bidi="ar"/>
        </w:rPr>
        <w:t xml:space="preserve">; </w:t>
      </w:r>
      <w:r>
        <w:rPr>
          <w:rFonts w:eastAsia="仿宋"/>
          <w:color w:val="287CA5"/>
          <w:kern w:val="0"/>
          <w:szCs w:val="21"/>
          <w:lang w:bidi="ar"/>
        </w:rPr>
        <w:t>Leng et al., 2010</w:t>
      </w:r>
      <w:r>
        <w:rPr>
          <w:rFonts w:eastAsia="仿宋"/>
          <w:color w:val="000000"/>
          <w:kern w:val="0"/>
          <w:szCs w:val="21"/>
          <w:lang w:bidi="ar"/>
        </w:rPr>
        <w:t xml:space="preserve">; </w:t>
      </w:r>
      <w:r>
        <w:rPr>
          <w:rFonts w:eastAsia="仿宋"/>
          <w:color w:val="287CA5"/>
          <w:kern w:val="0"/>
          <w:szCs w:val="21"/>
          <w:lang w:bidi="ar"/>
        </w:rPr>
        <w:t>Luo et al., 2018</w:t>
      </w:r>
      <w:r>
        <w:rPr>
          <w:rFonts w:eastAsia="仿宋"/>
          <w:color w:val="000000"/>
          <w:kern w:val="0"/>
          <w:szCs w:val="21"/>
          <w:lang w:bidi="ar"/>
        </w:rPr>
        <w:t>)</w:t>
      </w:r>
      <w:r>
        <w:rPr>
          <w:rFonts w:eastAsia="仿宋"/>
          <w:szCs w:val="21"/>
        </w:rPr>
        <w:t>。由于氧化铜晶体的不稳定性，Cu</w:t>
      </w:r>
      <w:r>
        <w:rPr>
          <w:rFonts w:eastAsia="仿宋"/>
          <w:szCs w:val="21"/>
          <w:vertAlign w:val="superscript"/>
        </w:rPr>
        <w:t>+</w:t>
      </w:r>
      <w:r>
        <w:rPr>
          <w:rFonts w:eastAsia="仿宋"/>
          <w:szCs w:val="21"/>
        </w:rPr>
        <w:t>离子容易氧化成可溶的Cu</w:t>
      </w:r>
      <w:r>
        <w:rPr>
          <w:rFonts w:eastAsia="仿宋"/>
          <w:szCs w:val="21"/>
          <w:vertAlign w:val="superscript"/>
        </w:rPr>
        <w:t>2+</w:t>
      </w:r>
      <w:r>
        <w:rPr>
          <w:rFonts w:eastAsia="仿宋"/>
          <w:szCs w:val="21"/>
        </w:rPr>
        <w:t>离子导致晶格的坍塌和Cu</w:t>
      </w:r>
      <w:r>
        <w:rPr>
          <w:rFonts w:eastAsia="仿宋"/>
          <w:szCs w:val="21"/>
          <w:vertAlign w:val="superscript"/>
        </w:rPr>
        <w:t>2+</w:t>
      </w:r>
      <w:r>
        <w:rPr>
          <w:rFonts w:eastAsia="仿宋"/>
          <w:szCs w:val="21"/>
        </w:rPr>
        <w:t>离子的大量浸出。与氧化铜相比，硫化铜(Cu</w:t>
      </w:r>
      <w:r>
        <w:rPr>
          <w:rFonts w:eastAsia="仿宋"/>
          <w:szCs w:val="21"/>
          <w:vertAlign w:val="subscript"/>
        </w:rPr>
        <w:t>2-</w:t>
      </w:r>
      <w:r>
        <w:rPr>
          <w:rFonts w:eastAsia="仿宋"/>
          <w:i/>
          <w:iCs/>
          <w:szCs w:val="21"/>
          <w:vertAlign w:val="subscript"/>
        </w:rPr>
        <w:t>x</w:t>
      </w:r>
      <w:r>
        <w:rPr>
          <w:rFonts w:eastAsia="仿宋"/>
          <w:szCs w:val="21"/>
        </w:rPr>
        <w:t>S，0&lt;</w:t>
      </w:r>
      <w:r>
        <w:rPr>
          <w:rFonts w:eastAsia="仿宋"/>
          <w:i/>
          <w:iCs/>
          <w:szCs w:val="21"/>
        </w:rPr>
        <w:t>x</w:t>
      </w:r>
      <w:r>
        <w:rPr>
          <w:rFonts w:eastAsia="仿宋"/>
          <w:szCs w:val="21"/>
        </w:rPr>
        <w:t>&lt;1)材料具有更丰富的成分和更好的稳定性，在光催化、能量转换和生物医学领域得到了广泛的应用</w:t>
      </w:r>
      <w:r>
        <w:rPr>
          <w:rFonts w:eastAsia="仿宋"/>
          <w:color w:val="000000"/>
          <w:kern w:val="0"/>
          <w:szCs w:val="21"/>
          <w:lang w:bidi="ar"/>
        </w:rPr>
        <w:t>(</w:t>
      </w:r>
      <w:r>
        <w:rPr>
          <w:rFonts w:eastAsia="仿宋"/>
          <w:color w:val="287CA5"/>
          <w:kern w:val="0"/>
          <w:szCs w:val="21"/>
          <w:lang w:bidi="ar"/>
        </w:rPr>
        <w:t>Coughlan et al., 2017</w:t>
      </w:r>
      <w:r>
        <w:rPr>
          <w:rFonts w:eastAsia="仿宋"/>
          <w:color w:val="000000"/>
          <w:kern w:val="0"/>
          <w:szCs w:val="21"/>
          <w:lang w:bidi="ar"/>
        </w:rPr>
        <w:t xml:space="preserve">; </w:t>
      </w:r>
      <w:r>
        <w:rPr>
          <w:rFonts w:eastAsia="仿宋"/>
          <w:color w:val="287CA5"/>
          <w:kern w:val="0"/>
          <w:szCs w:val="21"/>
          <w:lang w:bidi="ar"/>
        </w:rPr>
        <w:t>Liu et al., 2017</w:t>
      </w:r>
      <w:r>
        <w:rPr>
          <w:rFonts w:eastAsia="仿宋"/>
          <w:color w:val="000000"/>
          <w:kern w:val="0"/>
          <w:szCs w:val="21"/>
          <w:lang w:bidi="ar"/>
        </w:rPr>
        <w:t>)</w:t>
      </w:r>
      <w:r>
        <w:rPr>
          <w:rFonts w:eastAsia="仿宋"/>
          <w:szCs w:val="21"/>
        </w:rPr>
        <w:t>。迄今为止，研究人员已经发现了40多种Cu</w:t>
      </w:r>
      <w:r>
        <w:rPr>
          <w:rFonts w:eastAsia="仿宋"/>
          <w:szCs w:val="21"/>
          <w:vertAlign w:val="subscript"/>
        </w:rPr>
        <w:t>2-</w:t>
      </w:r>
      <w:r>
        <w:rPr>
          <w:rFonts w:eastAsia="仿宋"/>
          <w:i/>
          <w:iCs/>
          <w:szCs w:val="21"/>
          <w:vertAlign w:val="subscript"/>
        </w:rPr>
        <w:t>x</w:t>
      </w:r>
      <w:r>
        <w:rPr>
          <w:rFonts w:eastAsia="仿宋"/>
          <w:szCs w:val="21"/>
        </w:rPr>
        <w:t>S，根据晶体结构中硫化物原子的填充模式可将其分为三类：六方紧密、立方紧密和六方紧密与共价键的集成。其中，蓝辉铜矿(Cu</w:t>
      </w:r>
      <w:r>
        <w:rPr>
          <w:rFonts w:eastAsia="仿宋"/>
          <w:szCs w:val="21"/>
          <w:vertAlign w:val="subscript"/>
        </w:rPr>
        <w:t>1.80</w:t>
      </w:r>
      <w:r>
        <w:rPr>
          <w:rFonts w:eastAsia="仿宋"/>
          <w:szCs w:val="21"/>
        </w:rPr>
        <w:t>S或Cu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)中较短的Cu-S和Cu-Cu化学键接近金属中Cu-Cu键距离，会产生高电导率和较稳定的晶格，因此Cu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非常适合于某些腐蚀体系中的催化氧化反应。以氧化铜晶体为硬模板，在离子交换、奥斯特瓦尔德</w:t>
      </w:r>
      <w:r>
        <w:rPr>
          <w:rFonts w:eastAsia="仿宋"/>
          <w:color w:val="333333"/>
          <w:szCs w:val="21"/>
          <w:shd w:val="clear" w:color="auto" w:fill="FFFFFF"/>
        </w:rPr>
        <w:t>熟化</w:t>
      </w:r>
      <w:r>
        <w:rPr>
          <w:rFonts w:eastAsia="仿宋"/>
          <w:szCs w:val="21"/>
        </w:rPr>
        <w:t>或柯肯德尔效应的基础上制备了具有不同微观结构的Cu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材料，并作为光催化剂、电池、超级电容器和传感器的核心组件</w:t>
      </w:r>
      <w:r>
        <w:rPr>
          <w:rFonts w:eastAsia="仿宋"/>
          <w:color w:val="000000"/>
          <w:kern w:val="0"/>
          <w:szCs w:val="21"/>
          <w:lang w:bidi="ar"/>
        </w:rPr>
        <w:t>(</w:t>
      </w:r>
      <w:r>
        <w:rPr>
          <w:rFonts w:eastAsia="仿宋"/>
          <w:color w:val="287CA5"/>
          <w:kern w:val="0"/>
          <w:szCs w:val="21"/>
          <w:lang w:bidi="ar"/>
        </w:rPr>
        <w:t>Coughlan et al., 2017</w:t>
      </w:r>
      <w:r>
        <w:rPr>
          <w:rFonts w:eastAsia="仿宋"/>
          <w:color w:val="000000"/>
          <w:kern w:val="0"/>
          <w:szCs w:val="21"/>
          <w:lang w:bidi="ar"/>
        </w:rPr>
        <w:t xml:space="preserve">; </w:t>
      </w:r>
      <w:r>
        <w:rPr>
          <w:rFonts w:eastAsia="仿宋"/>
          <w:color w:val="287CA5"/>
          <w:kern w:val="0"/>
          <w:szCs w:val="21"/>
          <w:lang w:bidi="ar"/>
        </w:rPr>
        <w:t>Liu et al., 2017</w:t>
      </w:r>
      <w:r>
        <w:rPr>
          <w:rFonts w:eastAsia="仿宋"/>
          <w:color w:val="000000"/>
          <w:kern w:val="0"/>
          <w:szCs w:val="21"/>
          <w:lang w:bidi="ar"/>
        </w:rPr>
        <w:t xml:space="preserve">; </w:t>
      </w:r>
      <w:r>
        <w:rPr>
          <w:rFonts w:eastAsia="仿宋"/>
          <w:color w:val="287CA5"/>
          <w:kern w:val="0"/>
          <w:szCs w:val="21"/>
          <w:lang w:bidi="ar"/>
        </w:rPr>
        <w:t>Sun and Yang, 2014</w:t>
      </w:r>
      <w:r>
        <w:rPr>
          <w:rFonts w:eastAsia="仿宋"/>
          <w:color w:val="000000"/>
          <w:kern w:val="0"/>
          <w:szCs w:val="21"/>
          <w:lang w:bidi="ar"/>
        </w:rPr>
        <w:t>)</w:t>
      </w:r>
      <w:r>
        <w:rPr>
          <w:rFonts w:eastAsia="仿宋"/>
          <w:szCs w:val="21"/>
        </w:rPr>
        <w:t>。Cu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材料具有较高的催化活性和稳定性，在其他各个领域被广泛应用，但其在AOPs中的应用潜力常被人们忽视，但目前利用类芬顿氧化处理技术降解有机染料的相关研究尚未见报道。本文采用简单的阴离子交换法合成的中空结构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纳米球，应用于有机染料的类芬顿降解。制备获取得到的HS-Cu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纳米球可以有效地加速过氧化氢分解为具有强氧化性的·OH和·O</w:t>
      </w:r>
      <w:r>
        <w:rPr>
          <w:rFonts w:eastAsia="仿宋"/>
          <w:szCs w:val="21"/>
          <w:vertAlign w:val="subscript"/>
        </w:rPr>
        <w:t>2</w:t>
      </w:r>
      <w:r>
        <w:rPr>
          <w:rFonts w:eastAsia="仿宋"/>
          <w:szCs w:val="21"/>
        </w:rPr>
        <w:t>-。HS-Cu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催化剂的pH应用范围为5.0~9.0，在经历15次催化循环后仍表现出良好的催化稳定性和较低的Cu</w:t>
      </w:r>
      <w:r>
        <w:rPr>
          <w:rFonts w:eastAsia="仿宋"/>
          <w:szCs w:val="21"/>
          <w:vertAlign w:val="superscript"/>
        </w:rPr>
        <w:t>2+</w:t>
      </w:r>
      <w:r>
        <w:rPr>
          <w:rFonts w:eastAsia="仿宋"/>
          <w:szCs w:val="21"/>
        </w:rPr>
        <w:t>离子浸出率，成为高效处理有机废水中一种很具有前景的多相催化剂。</w:t>
      </w:r>
    </w:p>
    <w:p>
      <w:pPr>
        <w:widowControl/>
        <w:spacing w:before="156" w:beforeLines="50" w:line="360" w:lineRule="exact"/>
        <w:jc w:val="left"/>
        <w:rPr>
          <w:rFonts w:eastAsia="仿宋"/>
          <w:b/>
          <w:bCs/>
          <w:szCs w:val="21"/>
        </w:rPr>
      </w:pPr>
      <w:r>
        <w:rPr>
          <w:rFonts w:eastAsia="仿宋"/>
          <w:b/>
          <w:bCs/>
          <w:szCs w:val="21"/>
        </w:rPr>
        <w:t>2、实验部分</w:t>
      </w:r>
    </w:p>
    <w:p>
      <w:pPr>
        <w:widowControl/>
        <w:spacing w:line="360" w:lineRule="exact"/>
        <w:jc w:val="left"/>
        <w:rPr>
          <w:rFonts w:eastAsia="仿宋"/>
          <w:szCs w:val="21"/>
        </w:rPr>
      </w:pPr>
      <w:r>
        <w:rPr>
          <w:rFonts w:eastAsia="仿宋"/>
          <w:szCs w:val="21"/>
        </w:rPr>
        <w:t>2.1 实验试剂</w:t>
      </w:r>
    </w:p>
    <w:p>
      <w:pPr>
        <w:widowControl/>
        <w:spacing w:line="360" w:lineRule="exact"/>
        <w:ind w:firstLine="420" w:firstLineChars="200"/>
        <w:jc w:val="left"/>
        <w:rPr>
          <w:rFonts w:eastAsia="仿宋"/>
          <w:szCs w:val="21"/>
        </w:rPr>
      </w:pPr>
      <w:r>
        <w:rPr>
          <w:rFonts w:eastAsia="仿宋"/>
          <w:szCs w:val="21"/>
        </w:rPr>
        <w:t>乙酸铜、氢氧化钠、葡萄糖、乙二醇、硫化钠、双氧水（30 wt.%）、甲基橙（MO）、对苯二甲酸,以上试剂均为分析纯。</w:t>
      </w:r>
    </w:p>
    <w:p>
      <w:pPr>
        <w:widowControl/>
        <w:spacing w:line="360" w:lineRule="exact"/>
        <w:jc w:val="left"/>
        <w:rPr>
          <w:rFonts w:eastAsia="仿宋"/>
          <w:szCs w:val="21"/>
        </w:rPr>
      </w:pPr>
      <w:r>
        <w:rPr>
          <w:rFonts w:eastAsia="仿宋"/>
          <w:szCs w:val="21"/>
        </w:rPr>
        <w:t>2.2 Cu</w:t>
      </w:r>
      <w:r>
        <w:rPr>
          <w:rFonts w:eastAsia="仿宋"/>
          <w:szCs w:val="21"/>
          <w:vertAlign w:val="subscript"/>
        </w:rPr>
        <w:t>2</w:t>
      </w:r>
      <w:r>
        <w:rPr>
          <w:rFonts w:eastAsia="仿宋"/>
          <w:szCs w:val="21"/>
        </w:rPr>
        <w:t>O纳米微球的制备</w:t>
      </w:r>
    </w:p>
    <w:p>
      <w:pPr>
        <w:widowControl/>
        <w:spacing w:line="360" w:lineRule="exact"/>
        <w:ind w:firstLine="420" w:firstLineChars="200"/>
        <w:jc w:val="left"/>
        <w:rPr>
          <w:rFonts w:eastAsia="仿宋"/>
          <w:szCs w:val="21"/>
        </w:rPr>
      </w:pPr>
      <w:r>
        <w:rPr>
          <w:rFonts w:eastAsia="仿宋"/>
          <w:szCs w:val="21"/>
        </w:rPr>
        <w:t>采用葡萄糖还原Cu</w:t>
      </w:r>
      <w:r>
        <w:rPr>
          <w:rFonts w:eastAsia="仿宋"/>
          <w:szCs w:val="21"/>
          <w:vertAlign w:val="superscript"/>
        </w:rPr>
        <w:t>2+</w:t>
      </w:r>
      <w:r>
        <w:rPr>
          <w:rFonts w:eastAsia="仿宋"/>
          <w:szCs w:val="21"/>
        </w:rPr>
        <w:t>/NaOH/乙二醇体系，合成了Cu</w:t>
      </w:r>
      <w:r>
        <w:rPr>
          <w:rFonts w:eastAsia="仿宋"/>
          <w:szCs w:val="21"/>
          <w:vertAlign w:val="subscript"/>
        </w:rPr>
        <w:t>2</w:t>
      </w:r>
      <w:r>
        <w:rPr>
          <w:rFonts w:eastAsia="仿宋"/>
          <w:szCs w:val="21"/>
        </w:rPr>
        <w:t>O纳米球。实验中使用的化学物质均为分析级，未经进一步纯化。实验过程如下，在60℃、500 rpm搅拌条件下将2.0 mL NaOH水溶液（1.0 M）加入到25 mL Cu(CH</w:t>
      </w:r>
      <w:r>
        <w:rPr>
          <w:rFonts w:eastAsia="仿宋"/>
          <w:szCs w:val="21"/>
          <w:vertAlign w:val="subscript"/>
        </w:rPr>
        <w:t>3</w:t>
      </w:r>
      <w:r>
        <w:rPr>
          <w:rFonts w:eastAsia="仿宋"/>
          <w:szCs w:val="21"/>
        </w:rPr>
        <w:t>COO)</w:t>
      </w:r>
      <w:r>
        <w:rPr>
          <w:rFonts w:eastAsia="仿宋"/>
          <w:szCs w:val="21"/>
          <w:vertAlign w:val="subscript"/>
        </w:rPr>
        <w:t>2</w:t>
      </w:r>
      <w:r>
        <w:rPr>
          <w:rFonts w:eastAsia="仿宋"/>
          <w:szCs w:val="21"/>
        </w:rPr>
        <w:t>的乙二醇溶液（0.01 M）中。当混合溶液呈深蓝色后，快速加入50 mg葡萄糖，反应15 min，混合溶液的颜色先变为绿色，最后变为淡黄色。将该溶液在8000 rpm 离心分离10分钟，所得沉淀物用超纯水和无水乙醇清洗3次，置于25 ℃真空干燥箱4 h备用。</w:t>
      </w:r>
    </w:p>
    <w:p>
      <w:pPr>
        <w:widowControl/>
        <w:spacing w:line="360" w:lineRule="exact"/>
        <w:jc w:val="left"/>
        <w:rPr>
          <w:rFonts w:eastAsia="仿宋"/>
          <w:szCs w:val="21"/>
        </w:rPr>
      </w:pPr>
      <w:r>
        <w:rPr>
          <w:rFonts w:eastAsia="仿宋"/>
          <w:szCs w:val="21"/>
        </w:rPr>
        <w:t>2.3 样品CS-Cu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 YS-Cu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和HS-Cu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的制备</w:t>
      </w:r>
    </w:p>
    <w:p>
      <w:pPr>
        <w:widowControl/>
        <w:spacing w:line="360" w:lineRule="exact"/>
        <w:ind w:firstLine="420" w:firstLineChars="200"/>
        <w:jc w:val="left"/>
        <w:rPr>
          <w:rFonts w:eastAsia="仿宋"/>
          <w:szCs w:val="21"/>
        </w:rPr>
      </w:pPr>
      <w:r>
        <w:rPr>
          <w:rFonts w:eastAsia="仿宋"/>
          <w:szCs w:val="21"/>
        </w:rPr>
        <w:t>分别将0.12 mL，0.3 mL，1 mL 0.2M Na</w:t>
      </w:r>
      <w:r>
        <w:rPr>
          <w:rFonts w:eastAsia="仿宋"/>
          <w:szCs w:val="21"/>
          <w:vertAlign w:val="subscript"/>
        </w:rPr>
        <w:t>2</w:t>
      </w:r>
      <w:r>
        <w:rPr>
          <w:rFonts w:eastAsia="仿宋"/>
          <w:szCs w:val="21"/>
        </w:rPr>
        <w:t>S水溶液加入到20 mL水中，在800 rpm剧烈搅拌下。取制备好的Cu</w:t>
      </w:r>
      <w:r>
        <w:rPr>
          <w:rFonts w:eastAsia="仿宋"/>
          <w:szCs w:val="21"/>
          <w:vertAlign w:val="subscript"/>
        </w:rPr>
        <w:t>2</w:t>
      </w:r>
      <w:r>
        <w:rPr>
          <w:rFonts w:eastAsia="仿宋"/>
          <w:szCs w:val="21"/>
        </w:rPr>
        <w:t>O纳米球10 mg超声分散于10 ml的超纯水中，将该悬浮液加入上述Na</w:t>
      </w:r>
      <w:r>
        <w:rPr>
          <w:rFonts w:eastAsia="仿宋"/>
          <w:szCs w:val="21"/>
          <w:vertAlign w:val="subscript"/>
        </w:rPr>
        <w:t>2</w:t>
      </w:r>
      <w:r>
        <w:rPr>
          <w:rFonts w:eastAsia="仿宋"/>
          <w:szCs w:val="21"/>
        </w:rPr>
        <w:t>S溶液中，500 rpm搅拌，直至混合溶液变为棕色。产物在6000 rpm离心4 min，用超纯水和乙醇清洗3次，置于25℃真空干燥箱4 h备用，分别得到核@壳(CS-Cu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)、黄@壳(YS-Cu2O@Cu9S5)、中空结构Cu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)结构。</w:t>
      </w:r>
    </w:p>
    <w:p>
      <w:pPr>
        <w:widowControl/>
        <w:spacing w:line="360" w:lineRule="exact"/>
        <w:ind w:firstLine="420" w:firstLineChars="200"/>
        <w:jc w:val="left"/>
        <w:rPr>
          <w:rFonts w:eastAsia="仿宋"/>
          <w:szCs w:val="21"/>
        </w:rPr>
      </w:pPr>
      <w:r>
        <w:rPr>
          <w:rFonts w:eastAsia="仿宋"/>
          <w:szCs w:val="21"/>
        </w:rPr>
        <w:t>在室温下，将0.05mol·L</w:t>
      </w:r>
      <w:r>
        <w:rPr>
          <w:rFonts w:eastAsia="微软雅黑"/>
          <w:szCs w:val="21"/>
          <w:vertAlign w:val="superscript"/>
        </w:rPr>
        <w:t>−</w:t>
      </w:r>
      <w:r>
        <w:rPr>
          <w:rFonts w:eastAsia="仿宋"/>
          <w:szCs w:val="21"/>
          <w:vertAlign w:val="superscript"/>
        </w:rPr>
        <w:t>1</w:t>
      </w:r>
      <w:r>
        <w:rPr>
          <w:rFonts w:eastAsia="仿宋"/>
          <w:szCs w:val="21"/>
        </w:rPr>
        <w:t>溴化亚铜和硫化钠水溶液直接混合，摩尔比</w:t>
      </w:r>
      <w:r>
        <w:rPr>
          <w:rFonts w:eastAsia="仿宋"/>
          <w:i/>
          <w:iCs/>
          <w:szCs w:val="21"/>
        </w:rPr>
        <w:t>n</w:t>
      </w:r>
      <w:r>
        <w:rPr>
          <w:rFonts w:eastAsia="仿宋"/>
          <w:szCs w:val="21"/>
        </w:rPr>
        <w:t>(Cu</w:t>
      </w:r>
      <w:r>
        <w:rPr>
          <w:rFonts w:eastAsia="仿宋"/>
          <w:szCs w:val="21"/>
          <w:vertAlign w:val="superscript"/>
        </w:rPr>
        <w:t>+</w:t>
      </w:r>
      <w:r>
        <w:rPr>
          <w:rFonts w:eastAsia="仿宋"/>
          <w:szCs w:val="21"/>
        </w:rPr>
        <w:t>)：</w:t>
      </w:r>
      <w:r>
        <w:rPr>
          <w:rFonts w:eastAsia="仿宋"/>
          <w:i/>
          <w:iCs/>
          <w:szCs w:val="21"/>
        </w:rPr>
        <w:t>n</w:t>
      </w:r>
      <w:r>
        <w:rPr>
          <w:rFonts w:eastAsia="仿宋"/>
          <w:szCs w:val="21"/>
        </w:rPr>
        <w:t>(S</w:t>
      </w:r>
      <w:r>
        <w:rPr>
          <w:rFonts w:eastAsia="仿宋"/>
          <w:szCs w:val="21"/>
          <w:vertAlign w:val="subscript"/>
        </w:rPr>
        <w:t>2-</w:t>
      </w:r>
      <w:r>
        <w:rPr>
          <w:rFonts w:eastAsia="仿宋"/>
          <w:szCs w:val="21"/>
        </w:rPr>
        <w:t>)=2：1，搅拌15min后，以6000rpm离心4min分离，用去离子水和乙醇洗涤2次，真空烘箱中25°C下干燥4h合成具有不规则形态的Cu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颗粒。样品数和部分表征结果列于表1。</w:t>
      </w:r>
    </w:p>
    <w:p>
      <w:pPr>
        <w:widowControl/>
        <w:spacing w:before="156" w:beforeLines="50"/>
        <w:jc w:val="center"/>
        <w:rPr>
          <w:rFonts w:eastAsia="仿宋"/>
          <w:szCs w:val="21"/>
        </w:rPr>
      </w:pPr>
      <w:r>
        <w:rPr>
          <w:rFonts w:hint="eastAsia" w:eastAsia="仿宋"/>
          <w:szCs w:val="21"/>
        </w:rPr>
        <w:drawing>
          <wp:inline distT="0" distB="0" distL="0" distR="0">
            <wp:extent cx="5048250" cy="11620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048250" cy="1162050"/>
                    </a:xfrm>
                    <a:prstGeom prst="rect">
                      <a:avLst/>
                    </a:prstGeom>
                    <a:noFill/>
                    <a:ln>
                      <a:noFill/>
                    </a:ln>
                  </pic:spPr>
                </pic:pic>
              </a:graphicData>
            </a:graphic>
          </wp:inline>
        </w:drawing>
      </w:r>
    </w:p>
    <w:p>
      <w:pPr>
        <w:widowControl/>
        <w:spacing w:line="360" w:lineRule="exact"/>
        <w:ind w:firstLine="360" w:firstLineChars="200"/>
        <w:jc w:val="center"/>
        <w:rPr>
          <w:sz w:val="18"/>
          <w:szCs w:val="18"/>
        </w:rPr>
      </w:pPr>
      <w:r>
        <w:rPr>
          <w:sz w:val="18"/>
          <w:szCs w:val="18"/>
        </w:rPr>
        <w:t>表1  样品部分表征结果</w:t>
      </w:r>
    </w:p>
    <w:p>
      <w:pPr>
        <w:widowControl/>
        <w:spacing w:line="360" w:lineRule="exact"/>
        <w:ind w:firstLine="420" w:firstLineChars="200"/>
        <w:jc w:val="left"/>
        <w:rPr>
          <w:rFonts w:eastAsia="仿宋"/>
          <w:szCs w:val="21"/>
        </w:rPr>
      </w:pPr>
    </w:p>
    <w:p>
      <w:pPr>
        <w:widowControl/>
        <w:spacing w:line="360" w:lineRule="exact"/>
        <w:jc w:val="left"/>
        <w:rPr>
          <w:rFonts w:eastAsia="仿宋"/>
          <w:szCs w:val="21"/>
        </w:rPr>
      </w:pPr>
      <w:r>
        <w:rPr>
          <w:rFonts w:eastAsia="仿宋"/>
          <w:szCs w:val="21"/>
        </w:rPr>
        <w:t>2.4 材料表征</w:t>
      </w:r>
    </w:p>
    <w:p>
      <w:pPr>
        <w:widowControl/>
        <w:spacing w:line="360" w:lineRule="exact"/>
        <w:ind w:firstLine="420" w:firstLineChars="200"/>
        <w:jc w:val="left"/>
        <w:rPr>
          <w:rFonts w:eastAsia="仿宋"/>
          <w:szCs w:val="21"/>
        </w:rPr>
      </w:pPr>
      <w:r>
        <w:rPr>
          <w:rFonts w:eastAsia="仿宋"/>
          <w:szCs w:val="21"/>
        </w:rPr>
        <w:t>利用X射线衍射光谱仪(D8 Advance型，Bruker)在衍射角2</w:t>
      </w:r>
      <w:r>
        <w:rPr>
          <w:rFonts w:eastAsia="仿宋"/>
          <w:i/>
          <w:iCs/>
          <w:szCs w:val="21"/>
        </w:rPr>
        <w:t>θ</w:t>
      </w:r>
      <w:r>
        <w:rPr>
          <w:rFonts w:eastAsia="仿宋"/>
          <w:szCs w:val="21"/>
        </w:rPr>
        <w:t>=5</w:t>
      </w:r>
      <w:r>
        <w:rPr>
          <w:rFonts w:eastAsia="微软雅黑"/>
          <w:szCs w:val="21"/>
        </w:rPr>
        <w:t>−</w:t>
      </w:r>
      <w:r>
        <w:rPr>
          <w:rFonts w:eastAsia="仿宋"/>
          <w:szCs w:val="21"/>
        </w:rPr>
        <w:t>80°范围内收集粉末X射线衍射(XRD)图案。采用冷场发射扫描电子显微镜(FE-SEM，SU8010，日立)，能量色散X射线光谱镜(EDS，X-Max 20，牛津)。用透射电子显微镜(TEM，100SX，日本电子)测定了样品的显微结构。X射线光电子能谱(XPS)由光谱仪(AxisUltra，Kratos)采集，结合能由C 1s结合能(284.8 eV)进行校准。氮吸附等温线由物理吸附装置(ASAP 2460，微粒子)测试，样品在测试前在150°C真空中排出24小时。样品多孔结构的计算细节见支持信息。</w:t>
      </w:r>
    </w:p>
    <w:p>
      <w:pPr>
        <w:widowControl/>
        <w:spacing w:line="360" w:lineRule="exact"/>
        <w:jc w:val="left"/>
        <w:rPr>
          <w:rFonts w:eastAsia="仿宋"/>
          <w:szCs w:val="21"/>
        </w:rPr>
      </w:pPr>
      <w:r>
        <w:rPr>
          <w:rFonts w:eastAsia="仿宋"/>
          <w:szCs w:val="21"/>
        </w:rPr>
        <w:t>2.5 样品类芬顿催化性能的测试</w:t>
      </w:r>
    </w:p>
    <w:p>
      <w:pPr>
        <w:widowControl/>
        <w:spacing w:line="360" w:lineRule="exact"/>
        <w:ind w:firstLine="420" w:firstLineChars="200"/>
        <w:jc w:val="left"/>
        <w:rPr>
          <w:rFonts w:eastAsia="仿宋"/>
          <w:szCs w:val="21"/>
        </w:rPr>
      </w:pPr>
      <w:r>
        <w:rPr>
          <w:rFonts w:eastAsia="仿宋"/>
          <w:szCs w:val="21"/>
        </w:rPr>
        <w:t>将10mg催化剂加入到50mL的MO或MB水溶液(2 0mg/L)中，在50°C下剧烈搅拌预热，形成均质溶胶。系统在恒温水浴中保持10 min，以确保在催化前达到热力学平衡。然后加入300 μL的过氧化氢水溶液，开始反应计时。在每个给定的时间间隔内，取2.5 mL溶液，10000 rpm旋转离心1.5 min。用紫外-可见光谱法(U-3900，Hitachi)检测上清液吸光度，以确定染料的降解程度。研究反应温度和催化剂用量的影响，以优化催化条件。通过循环测试实验，测定了催化剂的稳定性和Cu</w:t>
      </w:r>
      <w:r>
        <w:rPr>
          <w:rFonts w:eastAsia="仿宋"/>
          <w:szCs w:val="21"/>
          <w:vertAlign w:val="superscript"/>
        </w:rPr>
        <w:t>2+</w:t>
      </w:r>
      <w:r>
        <w:rPr>
          <w:rFonts w:eastAsia="仿宋"/>
          <w:szCs w:val="21"/>
        </w:rPr>
        <w:t>离子浸出速率。所得到的沉淀物用去离子水洗涤两次，并在下一个催化循环中重复使用。催化剂电位（ζ）测量、总有机碳(TOC)、电子自旋共振(ESR)光谱、原子吸收光谱(AAS)、荧光光谱、电化学数据和晶体结构模拟的实验和计算细节均在支撑信息中给出。</w:t>
      </w:r>
    </w:p>
    <w:p>
      <w:pPr>
        <w:widowControl/>
        <w:spacing w:before="156" w:beforeLines="50" w:line="360" w:lineRule="exact"/>
        <w:jc w:val="left"/>
        <w:rPr>
          <w:rFonts w:eastAsia="仿宋"/>
          <w:b/>
          <w:bCs/>
          <w:szCs w:val="21"/>
        </w:rPr>
      </w:pPr>
      <w:r>
        <w:rPr>
          <w:rFonts w:eastAsia="仿宋"/>
          <w:b/>
          <w:bCs/>
          <w:szCs w:val="21"/>
        </w:rPr>
        <w:t>3、结果与讨论</w:t>
      </w:r>
    </w:p>
    <w:p>
      <w:pPr>
        <w:widowControl/>
        <w:spacing w:line="360" w:lineRule="exact"/>
        <w:jc w:val="left"/>
        <w:rPr>
          <w:rFonts w:eastAsia="仿宋"/>
          <w:szCs w:val="21"/>
          <w:vertAlign w:val="subscript"/>
        </w:rPr>
      </w:pPr>
      <w:r>
        <w:rPr>
          <w:rFonts w:eastAsia="仿宋"/>
          <w:szCs w:val="21"/>
        </w:rPr>
        <w:t>3.1 氧化铜纳米球转化为CS-Cu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，YS-Cu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和HS-Cu</w:t>
      </w:r>
      <w:r>
        <w:rPr>
          <w:rFonts w:eastAsia="仿宋"/>
          <w:szCs w:val="21"/>
          <w:vertAlign w:val="subscript"/>
        </w:rPr>
        <w:t>9</w:t>
      </w:r>
      <w:r>
        <w:rPr>
          <w:rFonts w:eastAsia="仿宋"/>
          <w:szCs w:val="21"/>
        </w:rPr>
        <w:t>S</w:t>
      </w:r>
      <w:r>
        <w:rPr>
          <w:rFonts w:eastAsia="仿宋"/>
          <w:szCs w:val="21"/>
          <w:vertAlign w:val="subscript"/>
        </w:rPr>
        <w:t>5</w:t>
      </w:r>
    </w:p>
    <w:p>
      <w:pPr>
        <w:widowControl/>
        <w:spacing w:after="156" w:afterLines="50" w:line="360" w:lineRule="exact"/>
        <w:ind w:firstLine="420" w:firstLineChars="200"/>
        <w:jc w:val="left"/>
        <w:rPr>
          <w:rFonts w:eastAsia="仿宋"/>
          <w:szCs w:val="21"/>
        </w:rPr>
      </w:pPr>
      <w:r>
        <w:rPr>
          <w:rFonts w:eastAsia="仿宋"/>
          <w:szCs w:val="21"/>
        </w:rPr>
        <w:t>图1为样品1-4的XRD图谱。如图1(A)所示，5个衍射峰依次对应于面心立方(fcc)氧化铜(PDF#05-0667)的(110)、(111)、(200)、(220)和(311)晶格面，表明纯氧化铜的成功合成。随着硫化反应中S</w:t>
      </w:r>
      <w:r>
        <w:rPr>
          <w:rFonts w:eastAsia="仿宋"/>
          <w:szCs w:val="21"/>
          <w:vertAlign w:val="superscript"/>
        </w:rPr>
        <w:t>2</w:t>
      </w:r>
      <w:r>
        <w:rPr>
          <w:rFonts w:eastAsia="微软雅黑"/>
          <w:szCs w:val="21"/>
          <w:vertAlign w:val="superscript"/>
        </w:rPr>
        <w:t>−</w:t>
      </w:r>
      <w:r>
        <w:rPr>
          <w:rFonts w:eastAsia="仿宋"/>
          <w:szCs w:val="21"/>
        </w:rPr>
        <w:t>离子用量的增加，氧化铜晶体的5个衍射峰逐渐减弱，在2</w:t>
      </w:r>
      <w:r>
        <w:rPr>
          <w:rFonts w:eastAsia="仿宋"/>
          <w:i/>
          <w:iCs/>
          <w:szCs w:val="21"/>
        </w:rPr>
        <w:t>θ</w:t>
      </w:r>
      <w:r>
        <w:rPr>
          <w:rFonts w:eastAsia="仿宋"/>
          <w:szCs w:val="21"/>
        </w:rPr>
        <w:t>=46.8°处出现了一个指向（110）晶格平面(Cu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)的新峰。这些结果表明，随着阴离子的交换，原始的氧化铜纳米球逐渐转变为Cu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。在图1(D)中，原始氧化铜的衍射峰完全消失，而在2</w:t>
      </w:r>
      <w:r>
        <w:rPr>
          <w:rFonts w:eastAsia="仿宋"/>
          <w:i/>
          <w:iCs/>
          <w:szCs w:val="21"/>
        </w:rPr>
        <w:t>θ</w:t>
      </w:r>
      <w:r>
        <w:rPr>
          <w:rFonts w:eastAsia="仿宋"/>
          <w:szCs w:val="21"/>
        </w:rPr>
        <w:t>=26.6,31.5,34.1,38.0,46.8和54.8°处有6个新出现的衍射峰可以被分配到六方Cu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的(0,0,15)，(018)，(1,0,10)，(1,0,14)，(110)和(205)晶格面(PDF#26-0476)。结果表明，样品4是由Cu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晶体组成，没有任何可区分的氧化铜晶体。</w:t>
      </w:r>
    </w:p>
    <w:p>
      <w:pPr>
        <w:widowControl/>
        <w:jc w:val="center"/>
        <w:rPr>
          <w:rFonts w:eastAsia="仿宋"/>
          <w:szCs w:val="21"/>
        </w:rPr>
      </w:pPr>
      <w:r>
        <w:rPr>
          <w:rFonts w:hint="eastAsia" w:eastAsia="仿宋"/>
          <w:szCs w:val="21"/>
        </w:rPr>
        <w:drawing>
          <wp:inline distT="0" distB="0" distL="0" distR="0">
            <wp:extent cx="2879725" cy="23063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880000" cy="2306902"/>
                    </a:xfrm>
                    <a:prstGeom prst="rect">
                      <a:avLst/>
                    </a:prstGeom>
                    <a:noFill/>
                    <a:ln>
                      <a:noFill/>
                    </a:ln>
                  </pic:spPr>
                </pic:pic>
              </a:graphicData>
            </a:graphic>
          </wp:inline>
        </w:drawing>
      </w:r>
    </w:p>
    <w:p>
      <w:pPr>
        <w:widowControl/>
        <w:spacing w:line="360" w:lineRule="exact"/>
        <w:jc w:val="center"/>
        <w:rPr>
          <w:sz w:val="18"/>
          <w:szCs w:val="18"/>
        </w:rPr>
      </w:pPr>
      <w:r>
        <w:rPr>
          <w:sz w:val="18"/>
          <w:szCs w:val="18"/>
        </w:rPr>
        <w:t>图1 样品1-4的XRD图谱：(A)Cu</w:t>
      </w:r>
      <w:r>
        <w:rPr>
          <w:sz w:val="18"/>
          <w:szCs w:val="18"/>
          <w:vertAlign w:val="subscript"/>
        </w:rPr>
        <w:t>2</w:t>
      </w:r>
      <w:r>
        <w:rPr>
          <w:sz w:val="18"/>
          <w:szCs w:val="18"/>
        </w:rPr>
        <w:t>O纳米球（样品1）；(B)CS-Cu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纳米球（样品2）；(C)YS-Cu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纳米球（样品3）；(D)HS-Cu</w:t>
      </w:r>
      <w:r>
        <w:rPr>
          <w:sz w:val="18"/>
          <w:szCs w:val="18"/>
          <w:vertAlign w:val="subscript"/>
        </w:rPr>
        <w:t>9</w:t>
      </w:r>
      <w:r>
        <w:rPr>
          <w:sz w:val="18"/>
          <w:szCs w:val="18"/>
        </w:rPr>
        <w:t>S</w:t>
      </w:r>
      <w:r>
        <w:rPr>
          <w:sz w:val="18"/>
          <w:szCs w:val="18"/>
          <w:vertAlign w:val="subscript"/>
        </w:rPr>
        <w:t>5</w:t>
      </w:r>
      <w:r>
        <w:rPr>
          <w:sz w:val="18"/>
          <w:szCs w:val="18"/>
        </w:rPr>
        <w:t>纳米球（样品4）</w:t>
      </w:r>
    </w:p>
    <w:p>
      <w:pPr>
        <w:widowControl/>
        <w:spacing w:line="360" w:lineRule="exact"/>
        <w:jc w:val="left"/>
        <w:rPr>
          <w:rFonts w:eastAsia="仿宋"/>
          <w:szCs w:val="21"/>
        </w:rPr>
      </w:pPr>
    </w:p>
    <w:p>
      <w:pPr>
        <w:widowControl/>
        <w:spacing w:line="360" w:lineRule="exact"/>
        <w:ind w:firstLine="420" w:firstLineChars="200"/>
        <w:jc w:val="left"/>
        <w:rPr>
          <w:rFonts w:eastAsia="仿宋"/>
          <w:szCs w:val="21"/>
        </w:rPr>
      </w:pPr>
      <w:r>
        <w:rPr>
          <w:rFonts w:eastAsia="仿宋"/>
          <w:szCs w:val="21"/>
        </w:rPr>
        <w:t>图2描述了样本1-4的SEM图像。与原始的氧化铜纳米球相比，硫化反应得到的三个样品由均匀的、表面更粗糙、直径更大的纳米球组成。此外，图2D显示了样品4的空心结构。结果表明，在阴离子交换过程中Cu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形成与氧化铜硬模板结构上变化不大。采用EDS对样品的成分变化进行了表征，结果如表1。氧化铜纳米球中Cu与O的摩尔比为67.8：32.2，近似于氧化铜的固有组成。随着硫化过程的进行，样品2-4中的S含量逐渐增加。</w:t>
      </w:r>
    </w:p>
    <w:p>
      <w:pPr>
        <w:widowControl/>
        <w:jc w:val="center"/>
        <w:rPr>
          <w:rFonts w:eastAsia="仿宋"/>
          <w:szCs w:val="21"/>
        </w:rPr>
      </w:pPr>
      <w:r>
        <w:drawing>
          <wp:inline distT="0" distB="0" distL="0" distR="0">
            <wp:extent cx="3599815" cy="325818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600000" cy="3258278"/>
                    </a:xfrm>
                    <a:prstGeom prst="rect">
                      <a:avLst/>
                    </a:prstGeom>
                    <a:noFill/>
                    <a:ln>
                      <a:noFill/>
                    </a:ln>
                  </pic:spPr>
                </pic:pic>
              </a:graphicData>
            </a:graphic>
          </wp:inline>
        </w:drawing>
      </w:r>
    </w:p>
    <w:p>
      <w:pPr>
        <w:widowControl/>
        <w:spacing w:line="360" w:lineRule="exact"/>
        <w:jc w:val="center"/>
        <w:rPr>
          <w:sz w:val="18"/>
          <w:szCs w:val="18"/>
        </w:rPr>
      </w:pPr>
      <w:r>
        <w:rPr>
          <w:sz w:val="18"/>
          <w:szCs w:val="18"/>
        </w:rPr>
        <w:t>图2 样品1-4的SEM图像：(A)Cu</w:t>
      </w:r>
      <w:r>
        <w:rPr>
          <w:sz w:val="18"/>
          <w:szCs w:val="18"/>
          <w:vertAlign w:val="subscript"/>
        </w:rPr>
        <w:t>2</w:t>
      </w:r>
      <w:r>
        <w:rPr>
          <w:sz w:val="18"/>
          <w:szCs w:val="18"/>
        </w:rPr>
        <w:t>O纳米球（样品1）；(B)CS-Cu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纳米球（样品2）；(C)YS-Cu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纳米球（样品3）；(D)HS-Cu</w:t>
      </w:r>
      <w:r>
        <w:rPr>
          <w:sz w:val="18"/>
          <w:szCs w:val="18"/>
          <w:vertAlign w:val="subscript"/>
        </w:rPr>
        <w:t>9</w:t>
      </w:r>
      <w:r>
        <w:rPr>
          <w:sz w:val="18"/>
          <w:szCs w:val="18"/>
        </w:rPr>
        <w:t>S</w:t>
      </w:r>
      <w:r>
        <w:rPr>
          <w:sz w:val="18"/>
          <w:szCs w:val="18"/>
          <w:vertAlign w:val="subscript"/>
        </w:rPr>
        <w:t>5</w:t>
      </w:r>
      <w:r>
        <w:rPr>
          <w:sz w:val="18"/>
          <w:szCs w:val="18"/>
        </w:rPr>
        <w:t>纳米球（样品4）</w:t>
      </w:r>
    </w:p>
    <w:p>
      <w:pPr>
        <w:widowControl/>
        <w:spacing w:line="360" w:lineRule="exact"/>
        <w:ind w:firstLine="420" w:firstLineChars="200"/>
        <w:jc w:val="left"/>
        <w:rPr>
          <w:rFonts w:eastAsia="仿宋"/>
          <w:szCs w:val="21"/>
        </w:rPr>
      </w:pPr>
      <w:r>
        <w:rPr>
          <w:rFonts w:eastAsia="仿宋"/>
          <w:szCs w:val="21"/>
        </w:rPr>
        <w:t>通过透射电镜和EDS图谱信息，进一步研究了样品2-4的微观结构和元素分布情况。如图3中A和B所示，样品2为典型的CS结构，纳米球边缘周围有光环形空间。CS结构球的直径约为150 nm，壳层厚度为8-12 nm。从壳体边缘（用白色标记）拍摄的高分辨率TEM(HR-TEM)图像显示了可分辨的晶格条纹，平面间距(</w:t>
      </w:r>
      <w:r>
        <w:rPr>
          <w:rFonts w:eastAsia="仿宋"/>
          <w:i/>
          <w:iCs/>
          <w:szCs w:val="21"/>
        </w:rPr>
        <w:t>d</w:t>
      </w:r>
      <w:r>
        <w:rPr>
          <w:rFonts w:eastAsia="仿宋"/>
          <w:szCs w:val="21"/>
        </w:rPr>
        <w:t>)为0.40 nm，这与Cu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（0,0,12）晶格平面的平面间距一致。这表明样品2的壳层主要由Cu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颗粒组成。图3中D图描述了单个CS球体的EDS元素分布情况。其中，铜元素均匀地分布在球体的心核和壳层中，因为直径与球壳相似因此S元素主要分布在球壳中，而O元素与S元素相比由于分布面积较小，主要集中在核心上。结果表明，样品2由氧化铜和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壳的CS-Cu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纳米球组成。TEM图像(图3E和F)显示，样品3主要由YS结构球组成，与图3B图相比，核与壳之间的空隙更大(图3F)。样品3的壳层厚度增加到15~20 nm，但样品3的氧化铜核较样品2明显收缩。在壳边缘的HR-TEM图像(图3G)中观察到一系列</w:t>
      </w:r>
      <w:r>
        <w:rPr>
          <w:rFonts w:eastAsia="仿宋"/>
          <w:i/>
          <w:iCs/>
          <w:szCs w:val="21"/>
        </w:rPr>
        <w:t xml:space="preserve">d </w:t>
      </w:r>
      <w:r>
        <w:rPr>
          <w:rFonts w:eastAsia="仿宋"/>
          <w:szCs w:val="21"/>
        </w:rPr>
        <w:t>= 0.29 nm的平行晶格条纹，与Cu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(018)晶格平面间距一致，表明壳中存在Cu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晶体。EDS图像(图3H)显示，样品3具有铜元素分布及其YS结构。O元素主要分布在球心处，而S元素则广泛分布在整个球体中。以上结果表明，样品3具有典型的CY结构，具有Cu</w:t>
      </w:r>
      <w:r>
        <w:rPr>
          <w:rFonts w:eastAsia="仿宋"/>
          <w:szCs w:val="21"/>
          <w:vertAlign w:val="subscript"/>
        </w:rPr>
        <w:t>2</w:t>
      </w:r>
      <w:r>
        <w:rPr>
          <w:rFonts w:eastAsia="仿宋"/>
          <w:szCs w:val="21"/>
        </w:rPr>
        <w:t>O核和Cu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壳层。如图3I和J所示，与暗边相比，样品4的内部厚度较轻，晶体密度较低，这说明样品4具有壳层厚度约为30 nm的中空结构。在一个空心球的HR-TEM图像(图3K)中，两组平面间距为0.34和0.40 nm的晶格条纹可以分别联系到Cu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的(101)和(0,0,12)晶格平面上。此外，空心的Cu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球具有均匀的Cu和S元素分布，其由EDS图中可看出(图3L)。</w:t>
      </w:r>
    </w:p>
    <w:p>
      <w:pPr>
        <w:widowControl/>
        <w:spacing w:before="156" w:beforeLines="50"/>
        <w:jc w:val="center"/>
        <w:rPr>
          <w:rFonts w:eastAsia="仿宋"/>
          <w:szCs w:val="21"/>
        </w:rPr>
      </w:pPr>
      <w:r>
        <w:drawing>
          <wp:inline distT="0" distB="0" distL="0" distR="0">
            <wp:extent cx="3600450" cy="2470150"/>
            <wp:effectExtent l="0" t="0" r="0"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600450" cy="2470150"/>
                    </a:xfrm>
                    <a:prstGeom prst="rect">
                      <a:avLst/>
                    </a:prstGeom>
                    <a:noFill/>
                    <a:ln>
                      <a:noFill/>
                    </a:ln>
                  </pic:spPr>
                </pic:pic>
              </a:graphicData>
            </a:graphic>
          </wp:inline>
        </w:drawing>
      </w:r>
    </w:p>
    <w:p>
      <w:pPr>
        <w:widowControl/>
        <w:spacing w:line="360" w:lineRule="exact"/>
        <w:jc w:val="center"/>
        <w:rPr>
          <w:sz w:val="18"/>
          <w:szCs w:val="18"/>
        </w:rPr>
      </w:pPr>
      <w:r>
        <w:rPr>
          <w:sz w:val="18"/>
          <w:szCs w:val="18"/>
        </w:rPr>
        <w:t>图3 样品2-4的TEM图像和EDS Mapping图：(A、B) CS-Cu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纳米球（样品2）的TEM图像；(C) CS-Cu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纳米球的HR-TEM图像；(D)CS-Cu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纳米球的EDS Mapping图；(E、F) YS-Cu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纳米球（样品3）的TEM图； (H)YS-Cu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纳米球的EDS Mapping图；（I、J）HS-Cu</w:t>
      </w:r>
      <w:r>
        <w:rPr>
          <w:sz w:val="18"/>
          <w:szCs w:val="18"/>
          <w:vertAlign w:val="subscript"/>
        </w:rPr>
        <w:t>9</w:t>
      </w:r>
      <w:r>
        <w:rPr>
          <w:sz w:val="18"/>
          <w:szCs w:val="18"/>
        </w:rPr>
        <w:t>S</w:t>
      </w:r>
      <w:r>
        <w:rPr>
          <w:sz w:val="18"/>
          <w:szCs w:val="18"/>
          <w:vertAlign w:val="subscript"/>
        </w:rPr>
        <w:t>5</w:t>
      </w:r>
      <w:r>
        <w:rPr>
          <w:sz w:val="18"/>
          <w:szCs w:val="18"/>
        </w:rPr>
        <w:t>纳米球（样品4）的TEM图像；(K) HS-Cu</w:t>
      </w:r>
      <w:r>
        <w:rPr>
          <w:sz w:val="18"/>
          <w:szCs w:val="18"/>
          <w:vertAlign w:val="subscript"/>
        </w:rPr>
        <w:t>9</w:t>
      </w:r>
      <w:r>
        <w:rPr>
          <w:sz w:val="18"/>
          <w:szCs w:val="18"/>
        </w:rPr>
        <w:t>S</w:t>
      </w:r>
      <w:r>
        <w:rPr>
          <w:sz w:val="18"/>
          <w:szCs w:val="18"/>
          <w:vertAlign w:val="subscript"/>
        </w:rPr>
        <w:t>5</w:t>
      </w:r>
      <w:r>
        <w:rPr>
          <w:sz w:val="18"/>
          <w:szCs w:val="18"/>
        </w:rPr>
        <w:t>纳米球（样品4）的HR-TEM图像；(L)HS-Cu9S5纳米球的EDS Mapping图</w:t>
      </w:r>
    </w:p>
    <w:p>
      <w:pPr>
        <w:widowControl/>
        <w:spacing w:line="360" w:lineRule="exact"/>
        <w:ind w:firstLine="420" w:firstLineChars="200"/>
        <w:jc w:val="left"/>
        <w:rPr>
          <w:rFonts w:eastAsia="仿宋"/>
          <w:szCs w:val="21"/>
        </w:rPr>
      </w:pPr>
    </w:p>
    <w:p>
      <w:pPr>
        <w:widowControl/>
        <w:spacing w:line="360" w:lineRule="exact"/>
        <w:ind w:firstLine="420" w:firstLineChars="200"/>
        <w:jc w:val="left"/>
        <w:rPr>
          <w:rFonts w:eastAsia="仿宋"/>
          <w:szCs w:val="21"/>
        </w:rPr>
      </w:pPr>
      <w:r>
        <w:rPr>
          <w:rFonts w:eastAsia="仿宋"/>
          <w:szCs w:val="21"/>
        </w:rPr>
        <w:t>基于以上微观结构分析，我们推测Cu</w:t>
      </w:r>
      <w:r>
        <w:rPr>
          <w:rFonts w:eastAsia="仿宋"/>
          <w:szCs w:val="21"/>
          <w:vertAlign w:val="subscript"/>
        </w:rPr>
        <w:t>2</w:t>
      </w:r>
      <w:r>
        <w:rPr>
          <w:rFonts w:eastAsia="仿宋"/>
          <w:szCs w:val="21"/>
        </w:rPr>
        <w:t>O纳米球向空心的Cu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球的结构和组成演化可能与Cu</w:t>
      </w:r>
      <w:r>
        <w:rPr>
          <w:rFonts w:eastAsia="仿宋"/>
          <w:szCs w:val="21"/>
          <w:vertAlign w:val="subscript"/>
        </w:rPr>
        <w:t>2</w:t>
      </w:r>
      <w:r>
        <w:rPr>
          <w:rFonts w:eastAsia="仿宋"/>
          <w:szCs w:val="21"/>
        </w:rPr>
        <w:t>O牺牲模板的阴离子交换有关。硫化反应最初发生在Cu</w:t>
      </w:r>
      <w:r>
        <w:rPr>
          <w:rFonts w:eastAsia="仿宋"/>
          <w:szCs w:val="21"/>
          <w:vertAlign w:val="subscript"/>
        </w:rPr>
        <w:t>2</w:t>
      </w:r>
      <w:r>
        <w:rPr>
          <w:rFonts w:eastAsia="仿宋"/>
          <w:szCs w:val="21"/>
        </w:rPr>
        <w:t>O纳米球表面形成Cu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壳，因为其溶解度(K</w:t>
      </w:r>
      <w:r>
        <w:rPr>
          <w:rFonts w:eastAsia="仿宋"/>
          <w:szCs w:val="21"/>
          <w:vertAlign w:val="subscript"/>
        </w:rPr>
        <w:t>sp</w:t>
      </w:r>
      <w:r>
        <w:rPr>
          <w:rFonts w:eastAsia="仿宋"/>
          <w:szCs w:val="21"/>
        </w:rPr>
        <w:t>=1×10</w:t>
      </w:r>
      <w:r>
        <w:rPr>
          <w:rFonts w:eastAsia="微软雅黑"/>
          <w:szCs w:val="21"/>
          <w:vertAlign w:val="superscript"/>
        </w:rPr>
        <w:t>−</w:t>
      </w:r>
      <w:r>
        <w:rPr>
          <w:rFonts w:eastAsia="仿宋"/>
          <w:szCs w:val="21"/>
          <w:vertAlign w:val="superscript"/>
        </w:rPr>
        <w:t>48</w:t>
      </w:r>
      <w:r>
        <w:rPr>
          <w:rFonts w:eastAsia="仿宋"/>
          <w:szCs w:val="21"/>
        </w:rPr>
        <w:t>)低于氧化铜(K</w:t>
      </w:r>
      <w:r>
        <w:rPr>
          <w:rFonts w:eastAsia="仿宋"/>
          <w:szCs w:val="21"/>
          <w:vertAlign w:val="subscript"/>
        </w:rPr>
        <w:t>sp</w:t>
      </w:r>
      <w:r>
        <w:rPr>
          <w:rFonts w:eastAsia="仿宋"/>
          <w:szCs w:val="21"/>
        </w:rPr>
        <w:t>=2×10</w:t>
      </w:r>
      <w:r>
        <w:rPr>
          <w:rFonts w:eastAsia="仿宋"/>
          <w:szCs w:val="21"/>
          <w:vertAlign w:val="superscript"/>
        </w:rPr>
        <w:t>-15</w:t>
      </w:r>
      <w:r>
        <w:rPr>
          <w:rFonts w:eastAsia="仿宋"/>
          <w:szCs w:val="21"/>
        </w:rPr>
        <w:t>)，对Cu</w:t>
      </w:r>
      <w:r>
        <w:rPr>
          <w:rFonts w:eastAsia="仿宋"/>
          <w:szCs w:val="21"/>
          <w:vertAlign w:val="subscript"/>
        </w:rPr>
        <w:t>2</w:t>
      </w:r>
      <w:r>
        <w:rPr>
          <w:rFonts w:eastAsia="仿宋"/>
          <w:szCs w:val="21"/>
        </w:rPr>
        <w:t>O硬模板产生腐蚀作用。在接下来的过程中，持续的硫化反应促进了Cu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壳向外生长，Cu</w:t>
      </w:r>
      <w:r>
        <w:rPr>
          <w:rFonts w:eastAsia="仿宋"/>
          <w:szCs w:val="21"/>
          <w:vertAlign w:val="superscript"/>
        </w:rPr>
        <w:t>+</w:t>
      </w:r>
      <w:r>
        <w:rPr>
          <w:rFonts w:eastAsia="仿宋"/>
          <w:szCs w:val="21"/>
        </w:rPr>
        <w:t>离子从Cu</w:t>
      </w:r>
      <w:r>
        <w:rPr>
          <w:rFonts w:eastAsia="仿宋"/>
          <w:szCs w:val="21"/>
          <w:vertAlign w:val="subscript"/>
        </w:rPr>
        <w:t>2</w:t>
      </w:r>
      <w:r>
        <w:rPr>
          <w:rFonts w:eastAsia="仿宋"/>
          <w:szCs w:val="21"/>
        </w:rPr>
        <w:t>O纳米球向内浸出，在核和壳之间产生较大的空隙；这种现象是由于Cu</w:t>
      </w:r>
      <w:r>
        <w:rPr>
          <w:rFonts w:eastAsia="仿宋"/>
          <w:szCs w:val="21"/>
          <w:vertAlign w:val="superscript"/>
        </w:rPr>
        <w:t>+</w:t>
      </w:r>
      <w:r>
        <w:rPr>
          <w:rFonts w:eastAsia="仿宋"/>
          <w:szCs w:val="21"/>
        </w:rPr>
        <w:t>离子向外扩散，而不是S</w:t>
      </w:r>
      <w:r>
        <w:rPr>
          <w:rFonts w:eastAsia="仿宋"/>
          <w:szCs w:val="21"/>
          <w:vertAlign w:val="superscript"/>
        </w:rPr>
        <w:t>2</w:t>
      </w:r>
      <w:r>
        <w:rPr>
          <w:rFonts w:eastAsia="微软雅黑"/>
          <w:szCs w:val="21"/>
          <w:vertAlign w:val="superscript"/>
        </w:rPr>
        <w:t>−</w:t>
      </w:r>
      <w:r>
        <w:rPr>
          <w:rFonts w:eastAsia="仿宋"/>
          <w:szCs w:val="21"/>
        </w:rPr>
        <w:t>离子向内扩散而产生的，这与之前的研究结果一致</w:t>
      </w:r>
      <w:r>
        <w:rPr>
          <w:rFonts w:eastAsia="仿宋"/>
          <w:color w:val="287CA5"/>
          <w:kern w:val="0"/>
          <w:szCs w:val="21"/>
          <w:lang w:bidi="ar"/>
        </w:rPr>
        <w:t>(Chen et al., 2018; Jiang et al., 2014; Sun et al., 2017)</w:t>
      </w:r>
      <w:r>
        <w:rPr>
          <w:rFonts w:eastAsia="仿宋"/>
          <w:szCs w:val="21"/>
        </w:rPr>
        <w:t>。随着反应的进行，Cu</w:t>
      </w:r>
      <w:r>
        <w:rPr>
          <w:rFonts w:eastAsia="仿宋"/>
          <w:szCs w:val="21"/>
          <w:vertAlign w:val="subscript"/>
        </w:rPr>
        <w:t>2</w:t>
      </w:r>
      <w:r>
        <w:rPr>
          <w:rFonts w:eastAsia="仿宋"/>
          <w:szCs w:val="21"/>
        </w:rPr>
        <w:t>O核的收缩加速了开尔文方程上的铜离子浸出，导致Cu</w:t>
      </w:r>
      <w:r>
        <w:rPr>
          <w:rFonts w:eastAsia="仿宋"/>
          <w:szCs w:val="21"/>
          <w:vertAlign w:val="subscript"/>
        </w:rPr>
        <w:t>2</w:t>
      </w:r>
      <w:r>
        <w:rPr>
          <w:rFonts w:eastAsia="仿宋"/>
          <w:szCs w:val="21"/>
        </w:rPr>
        <w:t>O核消失，进而形成空心Cu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球。考虑到硫化反应是在空气中进行的，在壳层中得到了更稳定的Cu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球，而不是硫化亚铜。</w:t>
      </w:r>
    </w:p>
    <w:p>
      <w:pPr>
        <w:widowControl/>
        <w:spacing w:line="360" w:lineRule="exact"/>
        <w:ind w:firstLine="420" w:firstLineChars="200"/>
        <w:jc w:val="left"/>
        <w:rPr>
          <w:rFonts w:eastAsia="仿宋"/>
          <w:szCs w:val="21"/>
        </w:rPr>
      </w:pPr>
      <w:r>
        <w:rPr>
          <w:rFonts w:eastAsia="仿宋"/>
          <w:szCs w:val="21"/>
        </w:rPr>
        <w:t>采用XPS对样品的表面信息进行了探究测试。如图S1所示为氧化铜的XPS光谱。在测量光谱中显现出了Cu(2p)、O(1s)和C(1s)，这符合氧化铜原料的固有组成。此外，Cu 2p光谱中在952.5和932.6 eV处的两个能带分别可以归因于Cu(I) 2p</w:t>
      </w:r>
      <w:r>
        <w:rPr>
          <w:rFonts w:eastAsia="仿宋"/>
          <w:szCs w:val="21"/>
          <w:vertAlign w:val="subscript"/>
        </w:rPr>
        <w:t>3/2</w:t>
      </w:r>
      <w:r>
        <w:rPr>
          <w:rFonts w:eastAsia="仿宋"/>
          <w:szCs w:val="21"/>
        </w:rPr>
        <w:t>和Cu(I) 2p</w:t>
      </w:r>
      <w:r>
        <w:rPr>
          <w:rFonts w:eastAsia="仿宋"/>
          <w:szCs w:val="21"/>
          <w:vertAlign w:val="subscript"/>
        </w:rPr>
        <w:t>1/2</w:t>
      </w:r>
      <w:r>
        <w:rPr>
          <w:rFonts w:eastAsia="仿宋"/>
          <w:szCs w:val="21"/>
        </w:rPr>
        <w:t>。另外两个键合能为954.1和934.7 eV的肩峰分别被鉴定为Cu(II) 2p</w:t>
      </w:r>
      <w:r>
        <w:rPr>
          <w:rFonts w:eastAsia="仿宋"/>
          <w:szCs w:val="21"/>
          <w:vertAlign w:val="subscript"/>
        </w:rPr>
        <w:t>3/2</w:t>
      </w:r>
      <w:r>
        <w:rPr>
          <w:rFonts w:eastAsia="仿宋"/>
          <w:szCs w:val="21"/>
        </w:rPr>
        <w:t>和Cu(II) 2p</w:t>
      </w:r>
      <w:r>
        <w:rPr>
          <w:rFonts w:eastAsia="仿宋"/>
          <w:szCs w:val="21"/>
          <w:vertAlign w:val="subscript"/>
        </w:rPr>
        <w:t>1/2</w:t>
      </w:r>
      <w:r>
        <w:rPr>
          <w:rFonts w:eastAsia="仿宋"/>
          <w:szCs w:val="21"/>
        </w:rPr>
        <w:t>。这些肩峰的出现可能是由于空气中表面的Cu(I)原子轻微氧化成Cu(II)引起的。图4显示了YS-Cu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和HS-Cu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纳米球的XPS光谱。YS-Cu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和HS-Cu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纳米球的XPS谱图中与氧化铜有相似的趋势。在图4B和E，四个峰属于铜(I) 2p和铜(II)2p转移低能区位移约0.5eV，这是归因于电子云迁移的基础上的电负性差异。图4C和F描述了在161.5和162.51~163.0 eV处的两个拟合能带，可以分别归因于S(II)2p</w:t>
      </w:r>
      <w:r>
        <w:rPr>
          <w:rFonts w:eastAsia="仿宋"/>
          <w:szCs w:val="21"/>
          <w:vertAlign w:val="subscript"/>
        </w:rPr>
        <w:t>3/2</w:t>
      </w:r>
      <w:r>
        <w:rPr>
          <w:rFonts w:eastAsia="仿宋"/>
          <w:szCs w:val="21"/>
        </w:rPr>
        <w:t>和Cu(II)2p</w:t>
      </w:r>
      <w:r>
        <w:rPr>
          <w:rFonts w:eastAsia="仿宋"/>
          <w:szCs w:val="21"/>
          <w:vertAlign w:val="subscript"/>
        </w:rPr>
        <w:t>1/2</w:t>
      </w:r>
      <w:r>
        <w:rPr>
          <w:rFonts w:eastAsia="仿宋"/>
          <w:szCs w:val="21"/>
        </w:rPr>
        <w:t>。XPS结果表明了Cu</w:t>
      </w:r>
      <w:r>
        <w:rPr>
          <w:rFonts w:eastAsia="仿宋"/>
          <w:szCs w:val="21"/>
          <w:vertAlign w:val="subscript"/>
        </w:rPr>
        <w:t>2</w:t>
      </w:r>
      <w:r>
        <w:rPr>
          <w:rFonts w:eastAsia="仿宋"/>
          <w:szCs w:val="21"/>
        </w:rPr>
        <w:t>O向Cu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的化学转化。</w:t>
      </w:r>
    </w:p>
    <w:p>
      <w:pPr>
        <w:widowControl/>
        <w:spacing w:before="156" w:beforeLines="50"/>
        <w:ind w:firstLine="420" w:firstLineChars="200"/>
        <w:jc w:val="center"/>
        <w:rPr>
          <w:rFonts w:eastAsia="仿宋"/>
          <w:szCs w:val="21"/>
        </w:rPr>
      </w:pPr>
      <w:r>
        <w:rPr>
          <w:rFonts w:eastAsia="仿宋"/>
          <w:szCs w:val="21"/>
        </w:rPr>
        <w:drawing>
          <wp:inline distT="0" distB="0" distL="0" distR="0">
            <wp:extent cx="4319905" cy="2353945"/>
            <wp:effectExtent l="0" t="0" r="444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320000" cy="2354286"/>
                    </a:xfrm>
                    <a:prstGeom prst="rect">
                      <a:avLst/>
                    </a:prstGeom>
                    <a:noFill/>
                    <a:ln>
                      <a:noFill/>
                    </a:ln>
                  </pic:spPr>
                </pic:pic>
              </a:graphicData>
            </a:graphic>
          </wp:inline>
        </w:drawing>
      </w:r>
    </w:p>
    <w:p>
      <w:pPr>
        <w:widowControl/>
        <w:spacing w:line="360" w:lineRule="exact"/>
        <w:jc w:val="center"/>
        <w:rPr>
          <w:sz w:val="18"/>
          <w:szCs w:val="18"/>
        </w:rPr>
      </w:pPr>
      <w:r>
        <w:rPr>
          <w:sz w:val="18"/>
          <w:szCs w:val="18"/>
        </w:rPr>
        <w:t>图4 样品3和4的XPS谱图：(A)YS-Cu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（样品3）；(B)YS-Cu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的Cu 2p谱；(C)YS-Cu</w:t>
      </w:r>
      <w:r>
        <w:rPr>
          <w:sz w:val="18"/>
          <w:szCs w:val="18"/>
          <w:vertAlign w:val="subscript"/>
        </w:rPr>
        <w:t>2</w:t>
      </w:r>
      <w:r>
        <w:rPr>
          <w:sz w:val="18"/>
          <w:szCs w:val="18"/>
        </w:rPr>
        <w:t>O@Cu</w:t>
      </w:r>
      <w:r>
        <w:rPr>
          <w:sz w:val="18"/>
          <w:szCs w:val="18"/>
          <w:vertAlign w:val="subscript"/>
        </w:rPr>
        <w:t>9</w:t>
      </w:r>
      <w:r>
        <w:rPr>
          <w:sz w:val="18"/>
          <w:szCs w:val="18"/>
        </w:rPr>
        <w:t>S</w:t>
      </w:r>
      <w:r>
        <w:rPr>
          <w:sz w:val="18"/>
          <w:szCs w:val="18"/>
          <w:vertAlign w:val="subscript"/>
        </w:rPr>
        <w:t>5</w:t>
      </w:r>
      <w:r>
        <w:rPr>
          <w:sz w:val="18"/>
          <w:szCs w:val="18"/>
        </w:rPr>
        <w:t>的S2p谱；(D)HS-Cu</w:t>
      </w:r>
      <w:r>
        <w:rPr>
          <w:sz w:val="18"/>
          <w:szCs w:val="18"/>
          <w:vertAlign w:val="subscript"/>
        </w:rPr>
        <w:t>9</w:t>
      </w:r>
      <w:r>
        <w:rPr>
          <w:sz w:val="18"/>
          <w:szCs w:val="18"/>
        </w:rPr>
        <w:t>S</w:t>
      </w:r>
      <w:r>
        <w:rPr>
          <w:sz w:val="18"/>
          <w:szCs w:val="18"/>
          <w:vertAlign w:val="subscript"/>
        </w:rPr>
        <w:t>5</w:t>
      </w:r>
      <w:r>
        <w:rPr>
          <w:sz w:val="18"/>
          <w:szCs w:val="18"/>
        </w:rPr>
        <w:t>（样品4）；(E))HS-Cu</w:t>
      </w:r>
      <w:r>
        <w:rPr>
          <w:sz w:val="18"/>
          <w:szCs w:val="18"/>
          <w:vertAlign w:val="subscript"/>
        </w:rPr>
        <w:t>9</w:t>
      </w:r>
      <w:r>
        <w:rPr>
          <w:sz w:val="18"/>
          <w:szCs w:val="18"/>
        </w:rPr>
        <w:t>S</w:t>
      </w:r>
      <w:r>
        <w:rPr>
          <w:sz w:val="18"/>
          <w:szCs w:val="18"/>
          <w:vertAlign w:val="subscript"/>
        </w:rPr>
        <w:t>5</w:t>
      </w:r>
      <w:r>
        <w:rPr>
          <w:sz w:val="18"/>
          <w:szCs w:val="18"/>
        </w:rPr>
        <w:t>的Cu 2p谱；(F))HS-Cu</w:t>
      </w:r>
      <w:r>
        <w:rPr>
          <w:sz w:val="18"/>
          <w:szCs w:val="18"/>
          <w:vertAlign w:val="subscript"/>
        </w:rPr>
        <w:t>9</w:t>
      </w:r>
      <w:r>
        <w:rPr>
          <w:sz w:val="18"/>
          <w:szCs w:val="18"/>
        </w:rPr>
        <w:t>S</w:t>
      </w:r>
      <w:r>
        <w:rPr>
          <w:sz w:val="18"/>
          <w:szCs w:val="18"/>
          <w:vertAlign w:val="subscript"/>
        </w:rPr>
        <w:t>5</w:t>
      </w:r>
      <w:r>
        <w:rPr>
          <w:sz w:val="18"/>
          <w:szCs w:val="18"/>
        </w:rPr>
        <w:t>的S 2p谱</w:t>
      </w:r>
    </w:p>
    <w:p>
      <w:pPr>
        <w:widowControl/>
        <w:spacing w:line="360" w:lineRule="exact"/>
        <w:ind w:firstLine="422" w:firstLineChars="200"/>
        <w:jc w:val="left"/>
        <w:rPr>
          <w:rFonts w:eastAsia="仿宋"/>
          <w:b/>
          <w:bCs/>
          <w:szCs w:val="21"/>
        </w:rPr>
      </w:pPr>
    </w:p>
    <w:p>
      <w:pPr>
        <w:widowControl/>
        <w:spacing w:line="360" w:lineRule="exact"/>
        <w:jc w:val="left"/>
        <w:rPr>
          <w:rFonts w:eastAsia="仿宋"/>
          <w:szCs w:val="21"/>
        </w:rPr>
      </w:pPr>
      <w:r>
        <w:rPr>
          <w:rFonts w:eastAsia="仿宋"/>
          <w:szCs w:val="21"/>
        </w:rPr>
        <w:t>3.2 样品对有机污染物的催化性能</w:t>
      </w:r>
    </w:p>
    <w:p>
      <w:pPr>
        <w:widowControl/>
        <w:spacing w:line="360" w:lineRule="exact"/>
        <w:ind w:firstLine="420" w:firstLineChars="200"/>
        <w:jc w:val="left"/>
        <w:rPr>
          <w:rFonts w:eastAsia="仿宋"/>
          <w:szCs w:val="21"/>
        </w:rPr>
      </w:pPr>
      <w:r>
        <w:rPr>
          <w:rFonts w:eastAsia="仿宋"/>
          <w:szCs w:val="21"/>
        </w:rPr>
        <w:t>将合成的含铜样品作为多相催化剂对有机污染物进行类芬顿降解，结果如图5所示。如图5(A)所示，将反应温度从30°C提高到50°C，Mo的降解速率明显提高，但在50~55°C的温度范围内，Mo的降解趋势减慢。在50°C下，30min内超过99.5%的Mo被去除，这可能是由于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纳米球与过氧化氢的相互作用增强，产生更多的无氧化反应，并在更高温度下促进分子扩散。然而，反应温度的升高也加速了过氧化氢直接分解为水和O</w:t>
      </w:r>
      <w:r>
        <w:rPr>
          <w:rFonts w:eastAsia="仿宋"/>
          <w:szCs w:val="21"/>
          <w:vertAlign w:val="subscript"/>
        </w:rPr>
        <w:t>2</w:t>
      </w:r>
      <w:r>
        <w:rPr>
          <w:rFonts w:eastAsia="仿宋"/>
          <w:szCs w:val="21"/>
        </w:rPr>
        <w:t>，导致过氧化氢的消耗没有意义，利用效率较低</w:t>
      </w:r>
      <w:r>
        <w:rPr>
          <w:rFonts w:eastAsia="仿宋"/>
          <w:color w:val="287CA5"/>
          <w:kern w:val="0"/>
          <w:szCs w:val="21"/>
          <w:lang w:bidi="ar"/>
        </w:rPr>
        <w:t>(Liang et al., 2019; Sun et al., 2018; Xia et al., 2011)</w:t>
      </w:r>
      <w:r>
        <w:rPr>
          <w:rFonts w:eastAsia="仿宋"/>
          <w:color w:val="000000"/>
          <w:kern w:val="0"/>
          <w:szCs w:val="21"/>
          <w:lang w:bidi="ar"/>
        </w:rPr>
        <w:t>。</w:t>
      </w:r>
      <w:r>
        <w:rPr>
          <w:rFonts w:eastAsia="仿宋"/>
          <w:szCs w:val="21"/>
        </w:rPr>
        <w:t>因此，我们优化了催化反应温度，并最终固定在50℃，以达到适当的催化活性和成本效益。研究结果与之前的研究结果一致，发现含铜催化剂的最佳温度为40~70°C，以刺激其催化活性</w:t>
      </w:r>
      <w:r>
        <w:rPr>
          <w:rFonts w:eastAsia="仿宋"/>
          <w:color w:val="287CA5"/>
          <w:kern w:val="0"/>
          <w:szCs w:val="21"/>
          <w:lang w:bidi="ar"/>
        </w:rPr>
        <w:t>(Liang et al., 2019; Sun et al., 2018; Xia et al., 2011)</w:t>
      </w:r>
      <w:r>
        <w:rPr>
          <w:rFonts w:eastAsia="仿宋"/>
          <w:szCs w:val="21"/>
        </w:rPr>
        <w:t>。</w:t>
      </w:r>
    </w:p>
    <w:p>
      <w:pPr>
        <w:widowControl/>
        <w:spacing w:line="360" w:lineRule="exact"/>
        <w:ind w:firstLine="420" w:firstLineChars="200"/>
        <w:jc w:val="left"/>
        <w:rPr>
          <w:rFonts w:eastAsia="仿宋"/>
          <w:szCs w:val="21"/>
        </w:rPr>
      </w:pPr>
      <w:r>
        <w:rPr>
          <w:rFonts w:eastAsia="仿宋"/>
          <w:szCs w:val="21"/>
        </w:rPr>
        <w:t>在图5B中，加入H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和Cu</w:t>
      </w:r>
      <w:r>
        <w:rPr>
          <w:rFonts w:eastAsia="仿宋"/>
          <w:szCs w:val="21"/>
          <w:vertAlign w:val="subscript"/>
        </w:rPr>
        <w:t>2</w:t>
      </w:r>
      <w:r>
        <w:rPr>
          <w:rFonts w:eastAsia="仿宋"/>
          <w:szCs w:val="21"/>
        </w:rPr>
        <w:t>O、CS-Cu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、YS-Cu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和HS-Cu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纳米球催化30min后，MO溶液的降解率分别达到42.7%、68.0%、80.8%和99.6%。催化活性强弱遵循从Cu</w:t>
      </w:r>
      <w:r>
        <w:rPr>
          <w:rFonts w:eastAsia="仿宋"/>
          <w:szCs w:val="21"/>
          <w:vertAlign w:val="subscript"/>
        </w:rPr>
        <w:t>2</w:t>
      </w:r>
      <w:r>
        <w:rPr>
          <w:rFonts w:eastAsia="仿宋"/>
          <w:szCs w:val="21"/>
        </w:rPr>
        <w:t>O到Cu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的组成转变，其中HS-Cu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纳米球的催化活性最好。插图1描述了在HS-Cu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纳米球催化的类Fenton降解体系中MO溶液中的褪色过程，橙色溶液在30min后变成无色。将这四种催化剂应用于另一种有机染料(MB)的类Fenton降解。如图5C所示，YS-Cu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和HS-Cu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纳米球催化30min后，MB溶液的降解率分别达到96.0%和99.7%，而Cu</w:t>
      </w:r>
      <w:r>
        <w:rPr>
          <w:rFonts w:eastAsia="仿宋"/>
          <w:szCs w:val="21"/>
          <w:vertAlign w:val="subscript"/>
        </w:rPr>
        <w:t>2</w:t>
      </w:r>
      <w:r>
        <w:rPr>
          <w:rFonts w:eastAsia="仿宋"/>
          <w:szCs w:val="21"/>
        </w:rPr>
        <w:t>O和CS-Cu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纳米球的降解率低于77%。特别是，HS-Cu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纳米球表现出优异的催化性能，只有在21min的催化作用后，MB的变色率才超过98%。插图2描述了HS-Cu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催化的类Fenton反应样过程中MB的快速衰落过程。由于染料溶液的物理吸附、化学吸附、着色基团的结构转变和染料分子的氧化降解等多种作用，设计了一系列实验来区分染料溶液变色的原因。虽然大多数催化剂由于其非平衡ζ，与带电染料分子有静电相互作用（表1），但过氧化氢分子与催化剂竞争性地相互作用，将几乎所有被吸附的染料分子释放回溶液中(图S2)。因此，由吸附引起的催化表征的定量误差可以忽略。</w:t>
      </w:r>
    </w:p>
    <w:p>
      <w:pPr>
        <w:widowControl/>
        <w:spacing w:after="156" w:afterLines="50" w:line="360" w:lineRule="exact"/>
        <w:ind w:firstLine="420" w:firstLineChars="200"/>
        <w:jc w:val="left"/>
        <w:rPr>
          <w:rFonts w:eastAsia="仿宋"/>
          <w:szCs w:val="21"/>
        </w:rPr>
      </w:pPr>
      <w:r>
        <w:rPr>
          <w:rFonts w:eastAsia="仿宋"/>
          <w:szCs w:val="21"/>
        </w:rPr>
        <w:t>在HS-Cu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的催化体系中(图5D)中，MO和MB溶液的TOC数据在前21min急剧下降至35~40%，说明HS-Cu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在类Fenton反应的初级阶段具有优异的催化活性。在接下来的阶段，此类溶液的TOC还原率减慢，这可能是由于之前报道的含铜类Fenton系统中H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利用率不佳，早期H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大量损失</w:t>
      </w:r>
      <w:r>
        <w:rPr>
          <w:rFonts w:eastAsia="仿宋"/>
          <w:color w:val="287CA5"/>
          <w:kern w:val="0"/>
          <w:szCs w:val="21"/>
          <w:lang w:bidi="ar"/>
        </w:rPr>
        <w:t>(Chandetal.，2009)</w:t>
      </w:r>
      <w:r>
        <w:rPr>
          <w:rFonts w:eastAsia="仿宋"/>
          <w:szCs w:val="21"/>
        </w:rPr>
        <w:t>。将回收的HS-Cu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催化剂完全溶解于10 mL的盐酸水溶液(1.0mol·L</w:t>
      </w:r>
      <w:r>
        <w:rPr>
          <w:rFonts w:eastAsia="微软雅黑"/>
          <w:szCs w:val="21"/>
          <w:vertAlign w:val="superscript"/>
        </w:rPr>
        <w:t>−</w:t>
      </w:r>
      <w:r>
        <w:rPr>
          <w:rFonts w:eastAsia="仿宋"/>
          <w:szCs w:val="21"/>
          <w:vertAlign w:val="superscript"/>
        </w:rPr>
        <w:t>1</w:t>
      </w:r>
      <w:r>
        <w:rPr>
          <w:rFonts w:eastAsia="仿宋"/>
          <w:szCs w:val="21"/>
        </w:rPr>
        <w:t>)中，释放被吸附的染料分子，吸收光谱和照片见插图3和插图4。在类Fenton反应降解后，HS-Cu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纳米球中没有可见的有机染料残留。考虑染料的吸附催化剂，TOC的降低表明MO和MB的变色可以主要归因于染料分子的氧化降解类Fenton系统催化HS-Cu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纳米球，在深层净化废水具有巨大潜力。</w:t>
      </w:r>
    </w:p>
    <w:p>
      <w:pPr>
        <w:widowControl/>
        <w:jc w:val="center"/>
        <w:rPr>
          <w:rFonts w:eastAsia="仿宋"/>
          <w:szCs w:val="21"/>
        </w:rPr>
      </w:pPr>
      <w:r>
        <w:rPr>
          <w:rFonts w:hint="eastAsia" w:eastAsia="仿宋"/>
          <w:szCs w:val="21"/>
        </w:rPr>
        <w:drawing>
          <wp:inline distT="0" distB="0" distL="0" distR="0">
            <wp:extent cx="4319905" cy="3159760"/>
            <wp:effectExtent l="0" t="0" r="444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320000" cy="3159859"/>
                    </a:xfrm>
                    <a:prstGeom prst="rect">
                      <a:avLst/>
                    </a:prstGeom>
                    <a:noFill/>
                    <a:ln>
                      <a:noFill/>
                    </a:ln>
                  </pic:spPr>
                </pic:pic>
              </a:graphicData>
            </a:graphic>
          </wp:inline>
        </w:drawing>
      </w:r>
    </w:p>
    <w:p>
      <w:pPr>
        <w:widowControl/>
        <w:spacing w:line="360" w:lineRule="exact"/>
        <w:jc w:val="center"/>
        <w:rPr>
          <w:sz w:val="18"/>
          <w:szCs w:val="18"/>
        </w:rPr>
      </w:pPr>
      <w:r>
        <w:rPr>
          <w:sz w:val="18"/>
          <w:szCs w:val="18"/>
        </w:rPr>
        <w:t>图5 样品在不同条件下对有机染料样降解的催化性能：HS-Cu</w:t>
      </w:r>
      <w:r>
        <w:rPr>
          <w:sz w:val="18"/>
          <w:szCs w:val="18"/>
          <w:vertAlign w:val="subscript"/>
        </w:rPr>
        <w:t>9</w:t>
      </w:r>
      <w:r>
        <w:rPr>
          <w:sz w:val="18"/>
          <w:szCs w:val="18"/>
        </w:rPr>
        <w:t>S</w:t>
      </w:r>
      <w:r>
        <w:rPr>
          <w:sz w:val="18"/>
          <w:szCs w:val="18"/>
          <w:vertAlign w:val="subscript"/>
        </w:rPr>
        <w:t>5</w:t>
      </w:r>
      <w:r>
        <w:rPr>
          <w:sz w:val="18"/>
          <w:szCs w:val="18"/>
        </w:rPr>
        <w:t>纳米球（样品4）在不同温度下催化 (A) MO降解曲线；(B) 样品1-4在50℃下催化的MO降解曲线；(C) 样品1-4在50℃下催化的MB降解曲线；(D) 样品4在50℃下催化的MO和MB溶液的TOC曲线；插图1和2分别描绘了H</w:t>
      </w:r>
      <w:r>
        <w:rPr>
          <w:sz w:val="18"/>
          <w:szCs w:val="18"/>
          <w:vertAlign w:val="subscript"/>
        </w:rPr>
        <w:t>2</w:t>
      </w:r>
      <w:r>
        <w:rPr>
          <w:sz w:val="18"/>
          <w:szCs w:val="18"/>
        </w:rPr>
        <w:t>O</w:t>
      </w:r>
      <w:r>
        <w:rPr>
          <w:sz w:val="18"/>
          <w:szCs w:val="18"/>
          <w:vertAlign w:val="subscript"/>
        </w:rPr>
        <w:t>2</w:t>
      </w:r>
      <w:r>
        <w:rPr>
          <w:sz w:val="18"/>
          <w:szCs w:val="18"/>
        </w:rPr>
        <w:t>样品4处理的MO和MB溶液的时间变化照片；插图3描述了HCl水溶液(</w:t>
      </w:r>
      <w:r>
        <w:rPr>
          <w:i/>
          <w:iCs/>
          <w:sz w:val="18"/>
          <w:szCs w:val="18"/>
        </w:rPr>
        <w:t xml:space="preserve">c </w:t>
      </w:r>
      <w:r>
        <w:rPr>
          <w:sz w:val="18"/>
          <w:szCs w:val="18"/>
          <w:vertAlign w:val="subscript"/>
        </w:rPr>
        <w:t>HCl</w:t>
      </w:r>
      <w:r>
        <w:rPr>
          <w:sz w:val="18"/>
          <w:szCs w:val="18"/>
        </w:rPr>
        <w:t>=1.0 mol·L</w:t>
      </w:r>
      <w:r>
        <w:rPr>
          <w:rFonts w:eastAsia="微软雅黑"/>
          <w:sz w:val="18"/>
          <w:szCs w:val="18"/>
          <w:vertAlign w:val="superscript"/>
        </w:rPr>
        <w:t>−</w:t>
      </w:r>
      <w:r>
        <w:rPr>
          <w:sz w:val="18"/>
          <w:szCs w:val="18"/>
          <w:vertAlign w:val="superscript"/>
        </w:rPr>
        <w:t>1</w:t>
      </w:r>
      <w:r>
        <w:rPr>
          <w:sz w:val="18"/>
          <w:szCs w:val="18"/>
        </w:rPr>
        <w:t>)溶解从MO芬顿样系统中回收的HS-Cu</w:t>
      </w:r>
      <w:r>
        <w:rPr>
          <w:sz w:val="18"/>
          <w:szCs w:val="18"/>
          <w:vertAlign w:val="subscript"/>
        </w:rPr>
        <w:t>9</w:t>
      </w:r>
      <w:r>
        <w:rPr>
          <w:sz w:val="18"/>
          <w:szCs w:val="18"/>
        </w:rPr>
        <w:t>S</w:t>
      </w:r>
      <w:r>
        <w:rPr>
          <w:sz w:val="18"/>
          <w:szCs w:val="18"/>
          <w:vertAlign w:val="subscript"/>
        </w:rPr>
        <w:t>5</w:t>
      </w:r>
      <w:r>
        <w:rPr>
          <w:sz w:val="18"/>
          <w:szCs w:val="18"/>
        </w:rPr>
        <w:t>和MO-HCl水溶液(</w:t>
      </w:r>
      <w:r>
        <w:rPr>
          <w:i/>
          <w:iCs/>
          <w:sz w:val="18"/>
          <w:szCs w:val="18"/>
        </w:rPr>
        <w:t xml:space="preserve">c </w:t>
      </w:r>
      <w:r>
        <w:rPr>
          <w:sz w:val="18"/>
          <w:szCs w:val="18"/>
          <w:vertAlign w:val="subscript"/>
        </w:rPr>
        <w:t>MO</w:t>
      </w:r>
      <w:r>
        <w:rPr>
          <w:sz w:val="18"/>
          <w:szCs w:val="18"/>
        </w:rPr>
        <w:t>=20 mg·L</w:t>
      </w:r>
      <w:r>
        <w:rPr>
          <w:rFonts w:eastAsia="微软雅黑"/>
          <w:sz w:val="18"/>
          <w:szCs w:val="18"/>
          <w:vertAlign w:val="superscript"/>
        </w:rPr>
        <w:t>−</w:t>
      </w:r>
      <w:r>
        <w:rPr>
          <w:sz w:val="18"/>
          <w:szCs w:val="18"/>
          <w:vertAlign w:val="superscript"/>
        </w:rPr>
        <w:t>1</w:t>
      </w:r>
      <w:r>
        <w:rPr>
          <w:sz w:val="18"/>
          <w:szCs w:val="18"/>
        </w:rPr>
        <w:t>，</w:t>
      </w:r>
      <w:r>
        <w:rPr>
          <w:i/>
          <w:iCs/>
          <w:sz w:val="18"/>
          <w:szCs w:val="18"/>
        </w:rPr>
        <w:t>c</w:t>
      </w:r>
      <w:r>
        <w:rPr>
          <w:sz w:val="18"/>
          <w:szCs w:val="18"/>
          <w:vertAlign w:val="subscript"/>
        </w:rPr>
        <w:t xml:space="preserve"> HCl</w:t>
      </w:r>
      <w:r>
        <w:rPr>
          <w:sz w:val="18"/>
          <w:szCs w:val="18"/>
        </w:rPr>
        <w:t>=1.0 mol·L</w:t>
      </w:r>
      <w:r>
        <w:rPr>
          <w:rFonts w:eastAsia="微软雅黑"/>
          <w:sz w:val="18"/>
          <w:szCs w:val="18"/>
          <w:vertAlign w:val="superscript"/>
        </w:rPr>
        <w:t>−</w:t>
      </w:r>
      <w:r>
        <w:rPr>
          <w:sz w:val="18"/>
          <w:szCs w:val="18"/>
          <w:vertAlign w:val="superscript"/>
        </w:rPr>
        <w:t>1</w:t>
      </w:r>
      <w:r>
        <w:rPr>
          <w:sz w:val="18"/>
          <w:szCs w:val="18"/>
        </w:rPr>
        <w:t>)的吸收光谱和照片；插图4描述了HCl水溶液(</w:t>
      </w:r>
      <w:r>
        <w:rPr>
          <w:i/>
          <w:iCs/>
          <w:sz w:val="18"/>
          <w:szCs w:val="18"/>
        </w:rPr>
        <w:t>c</w:t>
      </w:r>
      <w:r>
        <w:rPr>
          <w:sz w:val="18"/>
          <w:szCs w:val="18"/>
          <w:vertAlign w:val="subscript"/>
        </w:rPr>
        <w:t xml:space="preserve"> HCl</w:t>
      </w:r>
      <w:r>
        <w:rPr>
          <w:sz w:val="18"/>
          <w:szCs w:val="18"/>
        </w:rPr>
        <w:t>=1.0 mol·L</w:t>
      </w:r>
      <w:r>
        <w:rPr>
          <w:rFonts w:eastAsia="微软雅黑"/>
          <w:sz w:val="18"/>
          <w:szCs w:val="18"/>
          <w:vertAlign w:val="superscript"/>
        </w:rPr>
        <w:t>−</w:t>
      </w:r>
      <w:r>
        <w:rPr>
          <w:sz w:val="18"/>
          <w:szCs w:val="18"/>
          <w:vertAlign w:val="superscript"/>
        </w:rPr>
        <w:t>1</w:t>
      </w:r>
      <w:r>
        <w:rPr>
          <w:sz w:val="18"/>
          <w:szCs w:val="18"/>
        </w:rPr>
        <w:t>)溶解从MB芬顿样系统中回收的HS-Cu</w:t>
      </w:r>
      <w:r>
        <w:rPr>
          <w:sz w:val="18"/>
          <w:szCs w:val="18"/>
          <w:vertAlign w:val="subscript"/>
        </w:rPr>
        <w:t>9</w:t>
      </w:r>
      <w:r>
        <w:rPr>
          <w:sz w:val="18"/>
          <w:szCs w:val="18"/>
        </w:rPr>
        <w:t>S</w:t>
      </w:r>
      <w:r>
        <w:rPr>
          <w:sz w:val="18"/>
          <w:szCs w:val="18"/>
          <w:vertAlign w:val="subscript"/>
        </w:rPr>
        <w:t>5</w:t>
      </w:r>
      <w:r>
        <w:rPr>
          <w:sz w:val="18"/>
          <w:szCs w:val="18"/>
        </w:rPr>
        <w:t>和MB-HCl水溶液(</w:t>
      </w:r>
      <w:r>
        <w:rPr>
          <w:i/>
          <w:iCs/>
          <w:sz w:val="18"/>
          <w:szCs w:val="18"/>
        </w:rPr>
        <w:t>c</w:t>
      </w:r>
      <w:r>
        <w:rPr>
          <w:sz w:val="18"/>
          <w:szCs w:val="18"/>
          <w:vertAlign w:val="subscript"/>
        </w:rPr>
        <w:t xml:space="preserve"> MB</w:t>
      </w:r>
      <w:r>
        <w:rPr>
          <w:sz w:val="18"/>
          <w:szCs w:val="18"/>
        </w:rPr>
        <w:t>=20 mg·L</w:t>
      </w:r>
      <w:r>
        <w:rPr>
          <w:rFonts w:eastAsia="微软雅黑"/>
          <w:sz w:val="18"/>
          <w:szCs w:val="18"/>
          <w:vertAlign w:val="superscript"/>
        </w:rPr>
        <w:t>−</w:t>
      </w:r>
      <w:r>
        <w:rPr>
          <w:sz w:val="18"/>
          <w:szCs w:val="18"/>
          <w:vertAlign w:val="superscript"/>
        </w:rPr>
        <w:t>1</w:t>
      </w:r>
      <w:r>
        <w:rPr>
          <w:sz w:val="18"/>
          <w:szCs w:val="18"/>
        </w:rPr>
        <w:t>，</w:t>
      </w:r>
      <w:r>
        <w:rPr>
          <w:i/>
          <w:iCs/>
          <w:sz w:val="18"/>
          <w:szCs w:val="18"/>
        </w:rPr>
        <w:t xml:space="preserve">c </w:t>
      </w:r>
      <w:r>
        <w:rPr>
          <w:sz w:val="18"/>
          <w:szCs w:val="18"/>
          <w:vertAlign w:val="subscript"/>
        </w:rPr>
        <w:t>HCl</w:t>
      </w:r>
      <w:r>
        <w:rPr>
          <w:sz w:val="18"/>
          <w:szCs w:val="18"/>
        </w:rPr>
        <w:t>=1.0 mol·L</w:t>
      </w:r>
      <w:r>
        <w:rPr>
          <w:rFonts w:eastAsia="微软雅黑"/>
          <w:sz w:val="18"/>
          <w:szCs w:val="18"/>
          <w:vertAlign w:val="superscript"/>
        </w:rPr>
        <w:t>−</w:t>
      </w:r>
      <w:r>
        <w:rPr>
          <w:sz w:val="18"/>
          <w:szCs w:val="18"/>
          <w:vertAlign w:val="superscript"/>
        </w:rPr>
        <w:t>1</w:t>
      </w:r>
      <w:r>
        <w:rPr>
          <w:sz w:val="18"/>
          <w:szCs w:val="18"/>
        </w:rPr>
        <w:t>)的吸收光谱和照片</w:t>
      </w:r>
    </w:p>
    <w:p>
      <w:pPr>
        <w:widowControl/>
        <w:spacing w:line="360" w:lineRule="exact"/>
        <w:jc w:val="left"/>
        <w:rPr>
          <w:rFonts w:eastAsia="仿宋"/>
          <w:szCs w:val="21"/>
        </w:rPr>
      </w:pPr>
    </w:p>
    <w:p>
      <w:pPr>
        <w:widowControl/>
        <w:spacing w:line="360" w:lineRule="exact"/>
        <w:ind w:firstLine="420" w:firstLineChars="200"/>
        <w:jc w:val="left"/>
        <w:rPr>
          <w:rFonts w:eastAsia="仿宋"/>
          <w:szCs w:val="21"/>
        </w:rPr>
      </w:pPr>
      <w:r>
        <w:rPr>
          <w:rFonts w:eastAsia="仿宋"/>
          <w:szCs w:val="21"/>
        </w:rPr>
        <w:t>采用ESR自旋技术来区分催化过程中的氧化种类。如图6A所示，四个峰具有1：2：2：1的强度比，分别为·OH/5,5-二甲基-1-吡咯烷-n-氧化物(DMPO)复合物存在的五种体系中，表明在过氧化氢溶液中形成了·OH。随着Cu</w:t>
      </w:r>
      <w:r>
        <w:rPr>
          <w:rFonts w:eastAsia="仿宋"/>
          <w:szCs w:val="21"/>
          <w:vertAlign w:val="subscript"/>
        </w:rPr>
        <w:t>2</w:t>
      </w:r>
      <w:r>
        <w:rPr>
          <w:rFonts w:eastAsia="仿宋"/>
          <w:szCs w:val="21"/>
        </w:rPr>
        <w:t>O向Cu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的组成转化，生成的·OH的浓度相应增加。·O</w:t>
      </w:r>
      <w:r>
        <w:rPr>
          <w:rFonts w:eastAsia="仿宋"/>
          <w:szCs w:val="21"/>
          <w:vertAlign w:val="subscript"/>
        </w:rPr>
        <w:t>2</w:t>
      </w:r>
      <w:r>
        <w:rPr>
          <w:rFonts w:eastAsia="微软雅黑"/>
          <w:szCs w:val="21"/>
          <w:vertAlign w:val="superscript"/>
        </w:rPr>
        <w:t>−</w:t>
      </w:r>
      <w:r>
        <w:rPr>
          <w:rFonts w:eastAsia="仿宋"/>
          <w:szCs w:val="21"/>
        </w:rPr>
        <w:t>/DMPO复合物在甲醇介质中进行EPR检测，因为·O</w:t>
      </w:r>
      <w:r>
        <w:rPr>
          <w:rFonts w:eastAsia="仿宋"/>
          <w:szCs w:val="21"/>
          <w:vertAlign w:val="subscript"/>
        </w:rPr>
        <w:t>2</w:t>
      </w:r>
      <w:r>
        <w:rPr>
          <w:rFonts w:eastAsia="微软雅黑"/>
          <w:szCs w:val="21"/>
          <w:vertAlign w:val="superscript"/>
        </w:rPr>
        <w:t>−</w:t>
      </w:r>
      <w:r>
        <w:rPr>
          <w:rFonts w:eastAsia="仿宋"/>
          <w:szCs w:val="21"/>
        </w:rPr>
        <w:t>在水中是不稳定的</w:t>
      </w:r>
      <w:r>
        <w:rPr>
          <w:rFonts w:eastAsia="仿宋"/>
          <w:color w:val="287CA5"/>
          <w:kern w:val="0"/>
          <w:szCs w:val="21"/>
          <w:lang w:bidi="ar"/>
        </w:rPr>
        <w:t>(Lyu et al., 2015)</w:t>
      </w:r>
      <w:r>
        <w:rPr>
          <w:rFonts w:eastAsia="仿宋"/>
          <w:szCs w:val="21"/>
        </w:rPr>
        <w:t>。4个典型的ESR信号证实了5个体系中产生了·O</w:t>
      </w:r>
      <w:r>
        <w:rPr>
          <w:rFonts w:eastAsia="仿宋"/>
          <w:szCs w:val="21"/>
          <w:vertAlign w:val="subscript"/>
        </w:rPr>
        <w:t>2</w:t>
      </w:r>
      <w:r>
        <w:rPr>
          <w:rFonts w:eastAsia="微软雅黑"/>
          <w:szCs w:val="21"/>
          <w:vertAlign w:val="superscript"/>
        </w:rPr>
        <w:t>−</w:t>
      </w:r>
      <w:r>
        <w:rPr>
          <w:rFonts w:eastAsia="仿宋"/>
          <w:szCs w:val="21"/>
        </w:rPr>
        <w:t>，但HS-Cu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体系表现出最高的·O</w:t>
      </w:r>
      <w:r>
        <w:rPr>
          <w:rFonts w:eastAsia="仿宋"/>
          <w:szCs w:val="21"/>
          <w:vertAlign w:val="subscript"/>
        </w:rPr>
        <w:t>2</w:t>
      </w:r>
      <w:r>
        <w:rPr>
          <w:rFonts w:eastAsia="微软雅黑"/>
          <w:szCs w:val="21"/>
          <w:vertAlign w:val="superscript"/>
        </w:rPr>
        <w:t>−</w:t>
      </w:r>
      <w:r>
        <w:rPr>
          <w:rFonts w:eastAsia="仿宋"/>
          <w:szCs w:val="21"/>
        </w:rPr>
        <w:t>浓度。ESR检测到，随着Cu</w:t>
      </w:r>
      <w:r>
        <w:rPr>
          <w:rFonts w:eastAsia="仿宋"/>
          <w:szCs w:val="21"/>
          <w:vertAlign w:val="subscript"/>
        </w:rPr>
        <w:t>2</w:t>
      </w:r>
      <w:r>
        <w:rPr>
          <w:rFonts w:eastAsia="仿宋"/>
          <w:szCs w:val="21"/>
        </w:rPr>
        <w:t>O向Cu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的转化，自由基浓度的增加，表明Cu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在将过氧化氢降解为·OH/·O</w:t>
      </w:r>
      <w:r>
        <w:rPr>
          <w:rFonts w:eastAsia="仿宋"/>
          <w:szCs w:val="21"/>
          <w:vertAlign w:val="subscript"/>
        </w:rPr>
        <w:t>2</w:t>
      </w:r>
      <w:r>
        <w:rPr>
          <w:rFonts w:eastAsia="微软雅黑"/>
          <w:szCs w:val="21"/>
          <w:vertAlign w:val="superscript"/>
        </w:rPr>
        <w:t>−</w:t>
      </w:r>
      <w:r>
        <w:rPr>
          <w:rFonts w:eastAsia="仿宋"/>
          <w:szCs w:val="21"/>
        </w:rPr>
        <w:t>方面比Cu</w:t>
      </w:r>
      <w:r>
        <w:rPr>
          <w:rFonts w:eastAsia="仿宋"/>
          <w:szCs w:val="21"/>
          <w:vertAlign w:val="subscript"/>
        </w:rPr>
        <w:t>2</w:t>
      </w:r>
      <w:r>
        <w:rPr>
          <w:rFonts w:eastAsia="仿宋"/>
          <w:szCs w:val="21"/>
        </w:rPr>
        <w:t>O具有更好的催化活性。测试了对苯二甲酸溶液的荧光光谱，证明了在不同的类Fenton体系中形成了·OH自由基。如图S3所示。从样品1/H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到样品4/H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的荧光强度上升，表明相应体系中形成的·OH浓度增加，因为·OH与对苯二甲酸的氧化反应中产生的2-羟基对苯二甲酸可以在428 nm波长处产生强烈的荧光</w:t>
      </w:r>
      <w:r>
        <w:rPr>
          <w:rFonts w:eastAsia="仿宋"/>
          <w:color w:val="287CA5"/>
          <w:kern w:val="0"/>
          <w:szCs w:val="21"/>
          <w:lang w:bidi="ar"/>
        </w:rPr>
        <w:t>(Chen et al., 2015; Miao et al., 2019)</w:t>
      </w:r>
      <w:r>
        <w:rPr>
          <w:rFonts w:eastAsia="仿宋"/>
          <w:szCs w:val="21"/>
        </w:rPr>
        <w:t>。在样品4/H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体系中，在428 nm处的最大强荧光发射表明，HS-Cu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纳米球在将过氧化氢分解为·OH时具有最好的催化活性。结果与上述ESR数据一致，为类Fenton反应中·OH的形成提供了另一个证据。另外，·OH和·O</w:t>
      </w:r>
      <w:r>
        <w:rPr>
          <w:rFonts w:eastAsia="仿宋"/>
          <w:szCs w:val="21"/>
          <w:vertAlign w:val="subscript"/>
        </w:rPr>
        <w:t>2</w:t>
      </w:r>
      <w:r>
        <w:rPr>
          <w:rFonts w:eastAsia="微软雅黑"/>
          <w:szCs w:val="21"/>
          <w:vertAlign w:val="superscript"/>
        </w:rPr>
        <w:t>−</w:t>
      </w:r>
      <w:r>
        <w:rPr>
          <w:rFonts w:eastAsia="仿宋"/>
          <w:szCs w:val="21"/>
        </w:rPr>
        <w:t>分别用甲醇和氯仿淬灭。在图5C和D中，甲醇和氯仿通过增加清除剂的用量来抑制MO的降解，说明·OH和·O</w:t>
      </w:r>
      <w:r>
        <w:rPr>
          <w:rFonts w:eastAsia="仿宋"/>
          <w:szCs w:val="21"/>
          <w:vertAlign w:val="subscript"/>
        </w:rPr>
        <w:t>2</w:t>
      </w:r>
      <w:r>
        <w:rPr>
          <w:rFonts w:eastAsia="微软雅黑"/>
          <w:szCs w:val="21"/>
          <w:vertAlign w:val="superscript"/>
        </w:rPr>
        <w:t>−</w:t>
      </w:r>
      <w:r>
        <w:rPr>
          <w:rFonts w:eastAsia="仿宋"/>
          <w:szCs w:val="21"/>
        </w:rPr>
        <w:t>在有机污染物的氧化降解中起主要作用。</w:t>
      </w:r>
    </w:p>
    <w:p>
      <w:pPr>
        <w:widowControl/>
        <w:spacing w:before="156" w:beforeLines="50"/>
        <w:jc w:val="center"/>
        <w:rPr>
          <w:rFonts w:eastAsia="仿宋"/>
          <w:color w:val="000000"/>
          <w:kern w:val="0"/>
          <w:szCs w:val="21"/>
          <w:lang w:bidi="ar"/>
        </w:rPr>
      </w:pPr>
      <w:r>
        <w:rPr>
          <w:rFonts w:eastAsia="仿宋"/>
          <w:color w:val="000000"/>
          <w:kern w:val="0"/>
          <w:szCs w:val="21"/>
          <w:lang w:bidi="ar"/>
        </w:rPr>
        <w:drawing>
          <wp:inline distT="0" distB="0" distL="0" distR="0">
            <wp:extent cx="4319905" cy="3159760"/>
            <wp:effectExtent l="0" t="0" r="444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320000" cy="3159859"/>
                    </a:xfrm>
                    <a:prstGeom prst="rect">
                      <a:avLst/>
                    </a:prstGeom>
                    <a:noFill/>
                    <a:ln>
                      <a:noFill/>
                    </a:ln>
                  </pic:spPr>
                </pic:pic>
              </a:graphicData>
            </a:graphic>
          </wp:inline>
        </w:drawing>
      </w:r>
    </w:p>
    <w:p>
      <w:pPr>
        <w:widowControl/>
        <w:spacing w:line="360" w:lineRule="exact"/>
        <w:jc w:val="center"/>
        <w:rPr>
          <w:color w:val="000000"/>
          <w:kern w:val="0"/>
          <w:sz w:val="18"/>
          <w:szCs w:val="18"/>
          <w:lang w:bidi="ar"/>
        </w:rPr>
      </w:pPr>
      <w:r>
        <w:rPr>
          <w:sz w:val="18"/>
          <w:szCs w:val="18"/>
        </w:rPr>
        <w:t>图6 类Fenton体系的自由基研究：(A) 样品1-4催化类Fenton水体系中·OH/DMPO的ESR谱；(B) 检测样品1-4催化的芬顿样甲醇体系中·O2-/DMPO的ESR谱（正丁醇为·OH捕获剂）；(C) 样品4催化体系的MO降解曲线（氯仿为·O</w:t>
      </w:r>
      <w:r>
        <w:rPr>
          <w:sz w:val="18"/>
          <w:szCs w:val="18"/>
          <w:vertAlign w:val="subscript"/>
        </w:rPr>
        <w:t>2</w:t>
      </w:r>
      <w:r>
        <w:rPr>
          <w:rFonts w:eastAsia="微软雅黑"/>
          <w:sz w:val="18"/>
          <w:szCs w:val="18"/>
          <w:vertAlign w:val="superscript"/>
        </w:rPr>
        <w:t>−</w:t>
      </w:r>
      <w:r>
        <w:rPr>
          <w:sz w:val="18"/>
          <w:szCs w:val="18"/>
        </w:rPr>
        <w:t>捕获剂）；(D) 样品4催化体系的MO降解曲线</w:t>
      </w:r>
    </w:p>
    <w:p>
      <w:pPr>
        <w:widowControl/>
        <w:spacing w:line="360" w:lineRule="exact"/>
        <w:jc w:val="left"/>
        <w:rPr>
          <w:rFonts w:eastAsia="仿宋"/>
          <w:color w:val="000000"/>
          <w:kern w:val="0"/>
          <w:szCs w:val="21"/>
          <w:lang w:bidi="ar"/>
        </w:rPr>
      </w:pPr>
    </w:p>
    <w:p>
      <w:pPr>
        <w:widowControl/>
        <w:spacing w:line="360" w:lineRule="exact"/>
        <w:jc w:val="left"/>
        <w:rPr>
          <w:rFonts w:eastAsia="仿宋"/>
          <w:szCs w:val="21"/>
        </w:rPr>
      </w:pPr>
      <w:r>
        <w:rPr>
          <w:rFonts w:eastAsia="仿宋"/>
          <w:szCs w:val="21"/>
        </w:rPr>
        <w:t>3.3 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纳米球在类Fenton反应中的再利用</w:t>
      </w:r>
    </w:p>
    <w:p>
      <w:pPr>
        <w:widowControl/>
        <w:spacing w:line="360" w:lineRule="exact"/>
        <w:ind w:firstLine="420" w:firstLineChars="200"/>
        <w:jc w:val="left"/>
        <w:rPr>
          <w:rFonts w:eastAsia="仿宋"/>
          <w:szCs w:val="21"/>
        </w:rPr>
      </w:pPr>
      <w:r>
        <w:rPr>
          <w:rFonts w:eastAsia="仿宋"/>
          <w:szCs w:val="21"/>
        </w:rPr>
        <w:t>通过一系列的催化循环，验证了HS-Cu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纳米球在MO的类Fenton降解过程中的显著稳定性。如图7A所示，HS-Cu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纳米球在15次循环后催化效率仅下降1.9%。HS-Cu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的高重复性催化作用表明，它可能是含Cu的最稳定的固体催化剂之一，在类Fenton降解有机污染物方面具有优异的活性(表S1)。XRD和SEM结果(图S4)表明，回收的HS-Cu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纳米球经过5-10次催化循环后，可以维持原有的晶相和形貌。HS-Cu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纳米球的可回收性不仅归因于辉钛矿的固有稳定性，还归因于其优异的催化活性，因为使用少量的HS-Cu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(3mg)纳米球与使用10mg催化剂具有相似的催化效果(图S5)，用AAS检测浸出的Cu</w:t>
      </w:r>
      <w:r>
        <w:rPr>
          <w:rFonts w:eastAsia="仿宋"/>
          <w:szCs w:val="21"/>
          <w:vertAlign w:val="superscript"/>
        </w:rPr>
        <w:t>2+</w:t>
      </w:r>
      <w:r>
        <w:rPr>
          <w:rFonts w:eastAsia="仿宋"/>
          <w:szCs w:val="21"/>
        </w:rPr>
        <w:t>离子浓度HS-Cu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为1.11 mg·L</w:t>
      </w:r>
      <w:r>
        <w:rPr>
          <w:rFonts w:eastAsia="微软雅黑"/>
          <w:szCs w:val="21"/>
          <w:vertAlign w:val="superscript"/>
        </w:rPr>
        <w:t>−</w:t>
      </w:r>
      <w:r>
        <w:rPr>
          <w:rFonts w:eastAsia="仿宋"/>
          <w:szCs w:val="21"/>
          <w:vertAlign w:val="superscript"/>
        </w:rPr>
        <w:t>1</w:t>
      </w:r>
      <w:r>
        <w:rPr>
          <w:rFonts w:eastAsia="仿宋"/>
          <w:szCs w:val="21"/>
        </w:rPr>
        <w:t>催化循环（图7B），略低于欧盟标准中铜的限制(&lt;2 mg·L</w:t>
      </w:r>
      <w:r>
        <w:rPr>
          <w:rFonts w:eastAsia="微软雅黑"/>
          <w:szCs w:val="21"/>
          <w:vertAlign w:val="superscript"/>
        </w:rPr>
        <w:t>−</w:t>
      </w:r>
      <w:r>
        <w:rPr>
          <w:rFonts w:eastAsia="仿宋"/>
          <w:szCs w:val="21"/>
          <w:vertAlign w:val="superscript"/>
        </w:rPr>
        <w:t>1</w:t>
      </w:r>
      <w:r>
        <w:rPr>
          <w:rFonts w:eastAsia="仿宋"/>
          <w:szCs w:val="21"/>
        </w:rPr>
        <w:t>)。虽然在10和15次催化循环后浸出Cu</w:t>
      </w:r>
      <w:r>
        <w:rPr>
          <w:rFonts w:eastAsia="仿宋"/>
          <w:szCs w:val="21"/>
          <w:vertAlign w:val="superscript"/>
        </w:rPr>
        <w:t>2+</w:t>
      </w:r>
      <w:r>
        <w:rPr>
          <w:rFonts w:eastAsia="仿宋"/>
          <w:szCs w:val="21"/>
        </w:rPr>
        <w:t>浓度高于限制铜在欧盟指令，Cu</w:t>
      </w:r>
      <w:r>
        <w:rPr>
          <w:rFonts w:eastAsia="仿宋"/>
          <w:szCs w:val="21"/>
          <w:vertAlign w:val="superscript"/>
        </w:rPr>
        <w:t>2+</w:t>
      </w:r>
      <w:r>
        <w:rPr>
          <w:rFonts w:eastAsia="仿宋"/>
          <w:szCs w:val="21"/>
        </w:rPr>
        <w:t>离子浸出率HS-Cu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纳米球总是低于1.0%在所有催化循环(图7b)，这有利于催化剂的再利用和减少污染污泥的形成。如图7C所示，HS-Cu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催化剂在30min的pH广泛应用范围为5.0-9.0，MO降解率超过85.5%，使得到的催化剂适用于更复杂的废水处理。</w:t>
      </w:r>
    </w:p>
    <w:p>
      <w:pPr>
        <w:widowControl/>
        <w:spacing w:before="156" w:beforeLines="50"/>
        <w:jc w:val="center"/>
        <w:rPr>
          <w:rFonts w:eastAsia="仿宋"/>
          <w:szCs w:val="21"/>
        </w:rPr>
      </w:pPr>
      <w:r>
        <w:drawing>
          <wp:inline distT="0" distB="0" distL="0" distR="0">
            <wp:extent cx="4319905" cy="3503295"/>
            <wp:effectExtent l="0" t="0" r="444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320000" cy="3503322"/>
                    </a:xfrm>
                    <a:prstGeom prst="rect">
                      <a:avLst/>
                    </a:prstGeom>
                    <a:noFill/>
                    <a:ln>
                      <a:noFill/>
                    </a:ln>
                  </pic:spPr>
                </pic:pic>
              </a:graphicData>
            </a:graphic>
          </wp:inline>
        </w:drawing>
      </w:r>
    </w:p>
    <w:p>
      <w:pPr>
        <w:widowControl/>
        <w:spacing w:line="360" w:lineRule="exact"/>
        <w:jc w:val="center"/>
        <w:rPr>
          <w:sz w:val="18"/>
          <w:szCs w:val="18"/>
        </w:rPr>
      </w:pPr>
      <w:r>
        <w:rPr>
          <w:sz w:val="18"/>
          <w:szCs w:val="18"/>
        </w:rPr>
        <w:t>图7 (A)样品4在Mo样降解中的循环催化性能；(B)类Fenton体系循环运行中样品4的Cu</w:t>
      </w:r>
      <w:r>
        <w:rPr>
          <w:sz w:val="18"/>
          <w:szCs w:val="18"/>
          <w:vertAlign w:val="superscript"/>
        </w:rPr>
        <w:t>2+</w:t>
      </w:r>
      <w:r>
        <w:rPr>
          <w:sz w:val="18"/>
          <w:szCs w:val="18"/>
        </w:rPr>
        <w:t>离子浸出率图；(C)样品4在不同pH值下催化芬顿样体系的MO降解曲线</w:t>
      </w:r>
    </w:p>
    <w:p>
      <w:pPr>
        <w:widowControl/>
        <w:spacing w:line="360" w:lineRule="exact"/>
        <w:jc w:val="center"/>
        <w:rPr>
          <w:rFonts w:eastAsia="仿宋"/>
          <w:szCs w:val="21"/>
        </w:rPr>
      </w:pPr>
    </w:p>
    <w:p>
      <w:pPr>
        <w:widowControl/>
        <w:spacing w:line="360" w:lineRule="exact"/>
        <w:jc w:val="left"/>
        <w:rPr>
          <w:rFonts w:eastAsia="仿宋"/>
          <w:szCs w:val="21"/>
        </w:rPr>
      </w:pPr>
      <w:r>
        <w:rPr>
          <w:rFonts w:eastAsia="仿宋"/>
          <w:szCs w:val="21"/>
        </w:rPr>
        <w:t>3.4 HS-Cu</w:t>
      </w:r>
      <w:r>
        <w:rPr>
          <w:rFonts w:eastAsia="仿宋"/>
          <w:szCs w:val="21"/>
          <w:vertAlign w:val="subscript"/>
        </w:rPr>
        <w:t>9</w:t>
      </w:r>
      <w:r>
        <w:rPr>
          <w:rFonts w:hint="eastAsia" w:eastAsia="仿宋"/>
          <w:szCs w:val="21"/>
        </w:rPr>
        <w:t>S</w:t>
      </w:r>
      <w:r>
        <w:rPr>
          <w:rFonts w:eastAsia="仿宋"/>
          <w:szCs w:val="21"/>
          <w:vertAlign w:val="subscript"/>
        </w:rPr>
        <w:t>5</w:t>
      </w:r>
      <w:r>
        <w:rPr>
          <w:rFonts w:eastAsia="仿宋"/>
          <w:szCs w:val="21"/>
        </w:rPr>
        <w:t>纳米球优异催化性能的可能机理分析</w:t>
      </w:r>
    </w:p>
    <w:p>
      <w:pPr>
        <w:widowControl/>
        <w:spacing w:line="360" w:lineRule="exact"/>
        <w:ind w:firstLine="420" w:firstLineChars="200"/>
        <w:jc w:val="left"/>
        <w:rPr>
          <w:rFonts w:eastAsia="仿宋"/>
          <w:szCs w:val="21"/>
        </w:rPr>
      </w:pPr>
      <w:r>
        <w:rPr>
          <w:rFonts w:eastAsia="仿宋"/>
          <w:szCs w:val="21"/>
        </w:rPr>
        <w:t>通过电化学实验，分析了影响HS-Cu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纳米球具有优异催化性能的内在因素。循环伏安法(CV)曲线(图8A)显示了在</w:t>
      </w:r>
      <w:r>
        <w:rPr>
          <w:rFonts w:eastAsia="微软雅黑"/>
          <w:szCs w:val="21"/>
        </w:rPr>
        <w:t>−</w:t>
      </w:r>
      <w:r>
        <w:rPr>
          <w:rFonts w:eastAsia="仿宋"/>
          <w:szCs w:val="21"/>
        </w:rPr>
        <w:t>0.2~0.4 V的电位下Cu</w:t>
      </w:r>
      <w:r>
        <w:rPr>
          <w:rFonts w:eastAsia="仿宋"/>
          <w:szCs w:val="21"/>
          <w:vertAlign w:val="subscript"/>
        </w:rPr>
        <w:t>2</w:t>
      </w:r>
      <w:r>
        <w:rPr>
          <w:rFonts w:eastAsia="仿宋"/>
          <w:szCs w:val="21"/>
        </w:rPr>
        <w:t>O纳米球电极的氧化还原过程。然而，随着Cu</w:t>
      </w:r>
      <w:r>
        <w:rPr>
          <w:rFonts w:eastAsia="仿宋"/>
          <w:szCs w:val="21"/>
          <w:vertAlign w:val="subscript"/>
        </w:rPr>
        <w:t>2</w:t>
      </w:r>
      <w:r>
        <w:rPr>
          <w:rFonts w:eastAsia="仿宋"/>
          <w:szCs w:val="21"/>
        </w:rPr>
        <w:t>O向Cu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的转变，氧化还原变得更加明显。无论Cu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形态如何，Cu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电极的氧化峰约为0.24 V，在0.08-0.09V之间出现还原峰，分别对应于Cu(I)和Cu（Ⅱ）的氧化还原。Cu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电极相比Cu</w:t>
      </w:r>
      <w:r>
        <w:rPr>
          <w:rFonts w:eastAsia="仿宋"/>
          <w:szCs w:val="21"/>
          <w:vertAlign w:val="subscript"/>
        </w:rPr>
        <w:t>2</w:t>
      </w:r>
      <w:r>
        <w:rPr>
          <w:rFonts w:eastAsia="仿宋"/>
          <w:szCs w:val="21"/>
        </w:rPr>
        <w:t>O电极急剧增加电流的CV曲线表明Cu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晶体的电子转移速度更快，这归因于Cu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(2.4×10</w:t>
      </w:r>
      <w:r>
        <w:rPr>
          <w:rFonts w:eastAsia="仿宋"/>
          <w:szCs w:val="21"/>
          <w:vertAlign w:val="superscript"/>
        </w:rPr>
        <w:t>3</w:t>
      </w:r>
      <w:r>
        <w:rPr>
          <w:rFonts w:eastAsia="仿宋"/>
          <w:szCs w:val="21"/>
        </w:rPr>
        <w:t xml:space="preserve"> S·m</w:t>
      </w:r>
      <w:r>
        <w:rPr>
          <w:rFonts w:eastAsia="微软雅黑"/>
          <w:szCs w:val="21"/>
          <w:vertAlign w:val="superscript"/>
        </w:rPr>
        <w:t>−</w:t>
      </w:r>
      <w:r>
        <w:rPr>
          <w:rFonts w:eastAsia="仿宋"/>
          <w:szCs w:val="21"/>
          <w:vertAlign w:val="superscript"/>
        </w:rPr>
        <w:t>1</w:t>
      </w:r>
      <w:r>
        <w:rPr>
          <w:rFonts w:eastAsia="仿宋"/>
          <w:szCs w:val="21"/>
        </w:rPr>
        <w:t>)相比于Cu</w:t>
      </w:r>
      <w:r>
        <w:rPr>
          <w:rFonts w:eastAsia="仿宋"/>
          <w:szCs w:val="21"/>
          <w:vertAlign w:val="subscript"/>
        </w:rPr>
        <w:t>2</w:t>
      </w:r>
      <w:r>
        <w:rPr>
          <w:rFonts w:eastAsia="仿宋"/>
          <w:szCs w:val="21"/>
        </w:rPr>
        <w:t>O(3.3×10</w:t>
      </w:r>
      <w:r>
        <w:rPr>
          <w:rFonts w:eastAsia="微软雅黑"/>
          <w:szCs w:val="21"/>
          <w:vertAlign w:val="superscript"/>
        </w:rPr>
        <w:t>−</w:t>
      </w:r>
      <w:r>
        <w:rPr>
          <w:rFonts w:eastAsia="仿宋"/>
          <w:szCs w:val="21"/>
          <w:vertAlign w:val="superscript"/>
        </w:rPr>
        <w:t>5</w:t>
      </w:r>
      <w:r>
        <w:rPr>
          <w:rFonts w:eastAsia="仿宋"/>
          <w:szCs w:val="21"/>
        </w:rPr>
        <w:t xml:space="preserve"> S·m</w:t>
      </w:r>
      <w:r>
        <w:rPr>
          <w:rFonts w:eastAsia="微软雅黑"/>
          <w:szCs w:val="21"/>
          <w:vertAlign w:val="superscript"/>
        </w:rPr>
        <w:t>−</w:t>
      </w:r>
      <w:r>
        <w:rPr>
          <w:rFonts w:eastAsia="仿宋"/>
          <w:szCs w:val="21"/>
          <w:vertAlign w:val="superscript"/>
        </w:rPr>
        <w:t>1</w:t>
      </w:r>
      <w:r>
        <w:rPr>
          <w:rFonts w:eastAsia="仿宋"/>
          <w:szCs w:val="21"/>
        </w:rPr>
        <w:t>)具有更优越的电导率</w:t>
      </w:r>
      <w:r>
        <w:rPr>
          <w:rFonts w:eastAsia="仿宋"/>
          <w:color w:val="287CA5"/>
          <w:kern w:val="0"/>
          <w:szCs w:val="21"/>
          <w:lang w:bidi="ar"/>
        </w:rPr>
        <w:t>(Cao et al., 2019)。</w:t>
      </w:r>
      <w:r>
        <w:rPr>
          <w:rFonts w:eastAsia="仿宋"/>
          <w:szCs w:val="21"/>
        </w:rPr>
        <w:t>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（样品4）电极的氧化还原电流高于不规则Cu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（样品5）电极的氧化还原电流。在对照实验中，与不规则的Cu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颗粒相比，HS-Cu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纳米球在MO和MB的类Fenton降解过程中具有更好的催化活性(图S6和S7)。结果可能部分是由于样品4具有特殊的30 nm厚度的中空结构(图3J)，与不规则的Cu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粒子相比，其电子转移传递长度更短，具有更多的氧化还原位点。电化学阻抗谱(图8B)显示，HS-Cu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纳米球电极的半圆直径小于其他样品，从而证实了HS-Cu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纳米球的有效界面电子转移。由优化后的Cu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的晶体结构(图8C)可看出，Cu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至少有三种类型的铜原子与不同的化学状态和配位数的空间单位与单一类型的二元配位铜原子氧化铜空间单位，可以提供各种催化路径适应过氧化氢的氧化还原分解成·OH和·O</w:t>
      </w:r>
      <w:r>
        <w:rPr>
          <w:rFonts w:eastAsia="仿宋"/>
          <w:szCs w:val="21"/>
          <w:vertAlign w:val="subscript"/>
        </w:rPr>
        <w:t>2</w:t>
      </w:r>
      <w:r>
        <w:rPr>
          <w:rFonts w:eastAsia="微软雅黑"/>
          <w:szCs w:val="21"/>
          <w:vertAlign w:val="superscript"/>
        </w:rPr>
        <w:t>−</w:t>
      </w:r>
      <w:r>
        <w:rPr>
          <w:rFonts w:eastAsia="仿宋"/>
          <w:szCs w:val="21"/>
        </w:rPr>
        <w:t>。形成的·OH和·O</w:t>
      </w:r>
      <w:r>
        <w:rPr>
          <w:rFonts w:eastAsia="仿宋"/>
          <w:szCs w:val="21"/>
          <w:vertAlign w:val="subscript"/>
        </w:rPr>
        <w:t>2</w:t>
      </w:r>
      <w:r>
        <w:rPr>
          <w:rFonts w:eastAsia="微软雅黑"/>
          <w:szCs w:val="21"/>
          <w:vertAlign w:val="superscript"/>
        </w:rPr>
        <w:t>−</w:t>
      </w:r>
      <w:r>
        <w:rPr>
          <w:rFonts w:eastAsia="仿宋"/>
          <w:szCs w:val="21"/>
        </w:rPr>
        <w:t>具有高化学活性，可以有效打破染料分子的化学键，将其氧化分解为无毒产物，如水、二氧化碳和无机盐，实现深层矿化。如前所述，Fenton催化剂拥有的化学态越多，在过氧化氢氧化还原中电子转移效率越高，形成强氧化·OH和·O</w:t>
      </w:r>
      <w:r>
        <w:rPr>
          <w:rFonts w:eastAsia="仿宋"/>
          <w:szCs w:val="21"/>
          <w:vertAlign w:val="subscript"/>
        </w:rPr>
        <w:t>2</w:t>
      </w:r>
      <w:r>
        <w:rPr>
          <w:rFonts w:eastAsia="微软雅黑"/>
          <w:szCs w:val="21"/>
          <w:vertAlign w:val="superscript"/>
        </w:rPr>
        <w:t>−</w:t>
      </w:r>
      <w:r>
        <w:rPr>
          <w:rFonts w:eastAsia="仿宋"/>
          <w:szCs w:val="21"/>
        </w:rPr>
        <w:t>，因为理想的非活性化学状态催化剂可以很容易地通过一个简单的氧化还原循环进行转化</w:t>
      </w:r>
      <w:r>
        <w:rPr>
          <w:rFonts w:eastAsia="仿宋"/>
          <w:color w:val="287CA5"/>
          <w:kern w:val="0"/>
          <w:szCs w:val="21"/>
          <w:lang w:bidi="ar"/>
        </w:rPr>
        <w:t>(Bokare和Choi，2014)</w:t>
      </w:r>
      <w:r>
        <w:rPr>
          <w:rFonts w:eastAsia="仿宋"/>
          <w:szCs w:val="21"/>
        </w:rPr>
        <w:t>。如表1所示，纳米球通过硫化反应获得了更高的表面积和更大的孔体积比原始氧化铜纳米球和不规则Cu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粒子，可以提供更多的催化位点促进类Fenton反应产生更多的氧化自由基，随后将有机染料分解为无毒产品。此外，HS-Cu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纳米球的平均孔径为41.9 nm，远远大于MO和MB的分子尺寸（图S8）。该多孔结构可方便染料分子通过Cu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壳层，并接触到HS-Cu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纳米球的内催化位点</w:t>
      </w:r>
      <w:r>
        <w:rPr>
          <w:rFonts w:eastAsia="仿宋"/>
          <w:color w:val="287CA5"/>
          <w:kern w:val="0"/>
          <w:szCs w:val="21"/>
          <w:lang w:bidi="ar"/>
        </w:rPr>
        <w:t>(Luo et al., 2020)。</w:t>
      </w:r>
      <w:r>
        <w:rPr>
          <w:rFonts w:eastAsia="仿宋"/>
          <w:szCs w:val="21"/>
        </w:rPr>
        <w:t>上述讨论的基础上，HS-Cu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纳米球的优选催化活性相比其他不仅归因于特殊的晶格结构和优越的电导率，提供足够的适应性催化位点和其多孔的结构有利于分子扩散促进氧化还原。另一方面，其优异的催化稳定性主要是由于Cu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晶体固有的不溶性所致。在一些化学或电化学反应中，Cu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由于其本能的稳定性，可以在高温下稳定工作</w:t>
      </w:r>
      <w:r>
        <w:rPr>
          <w:rFonts w:eastAsia="仿宋"/>
          <w:color w:val="287CA5"/>
          <w:kern w:val="0"/>
          <w:szCs w:val="21"/>
          <w:lang w:bidi="ar"/>
        </w:rPr>
        <w:t>(Nair et al., 1998; Zhang et al., 2015)</w:t>
      </w:r>
      <w:r>
        <w:rPr>
          <w:rFonts w:eastAsia="仿宋"/>
          <w:szCs w:val="21"/>
        </w:rPr>
        <w:t>。理论计算结果表明，Cu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由于形成热较低，是富含铜的Cu</w:t>
      </w:r>
      <w:r>
        <w:rPr>
          <w:rFonts w:eastAsia="仿宋"/>
          <w:szCs w:val="21"/>
          <w:vertAlign w:val="subscript"/>
        </w:rPr>
        <w:t>2-x</w:t>
      </w:r>
      <w:r>
        <w:rPr>
          <w:rFonts w:eastAsia="仿宋"/>
          <w:szCs w:val="21"/>
        </w:rPr>
        <w:t>S的一种稳定形式</w:t>
      </w:r>
      <w:r>
        <w:rPr>
          <w:rFonts w:eastAsia="仿宋"/>
          <w:color w:val="287CA5"/>
          <w:kern w:val="0"/>
          <w:szCs w:val="21"/>
          <w:lang w:bidi="ar"/>
        </w:rPr>
        <w:t>(Xu et al., 2012)</w:t>
      </w:r>
      <w:r>
        <w:rPr>
          <w:rFonts w:eastAsia="仿宋"/>
          <w:szCs w:val="21"/>
        </w:rPr>
        <w:t>。</w:t>
      </w:r>
    </w:p>
    <w:p>
      <w:pPr>
        <w:widowControl/>
        <w:spacing w:before="156" w:beforeLines="50"/>
        <w:jc w:val="center"/>
        <w:rPr>
          <w:rFonts w:eastAsia="仿宋"/>
          <w:szCs w:val="21"/>
        </w:rPr>
      </w:pPr>
      <w:r>
        <w:rPr>
          <w:rFonts w:hint="eastAsia" w:eastAsia="仿宋"/>
          <w:szCs w:val="21"/>
        </w:rPr>
        <w:drawing>
          <wp:inline distT="0" distB="0" distL="0" distR="0">
            <wp:extent cx="4324350" cy="35623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324350" cy="3562350"/>
                    </a:xfrm>
                    <a:prstGeom prst="rect">
                      <a:avLst/>
                    </a:prstGeom>
                    <a:noFill/>
                    <a:ln>
                      <a:noFill/>
                    </a:ln>
                  </pic:spPr>
                </pic:pic>
              </a:graphicData>
            </a:graphic>
          </wp:inline>
        </w:drawing>
      </w:r>
    </w:p>
    <w:p>
      <w:pPr>
        <w:widowControl/>
        <w:spacing w:line="360" w:lineRule="exact"/>
        <w:jc w:val="center"/>
        <w:rPr>
          <w:sz w:val="18"/>
          <w:szCs w:val="18"/>
        </w:rPr>
      </w:pPr>
      <w:r>
        <w:rPr>
          <w:sz w:val="18"/>
          <w:szCs w:val="18"/>
        </w:rPr>
        <w:t>图8 (A)不同样品在0.5mol·L</w:t>
      </w:r>
      <w:r>
        <w:rPr>
          <w:rFonts w:eastAsia="微软雅黑"/>
          <w:sz w:val="18"/>
          <w:szCs w:val="18"/>
          <w:vertAlign w:val="superscript"/>
        </w:rPr>
        <w:t>−</w:t>
      </w:r>
      <w:r>
        <w:rPr>
          <w:sz w:val="18"/>
          <w:szCs w:val="18"/>
          <w:vertAlign w:val="superscript"/>
        </w:rPr>
        <w:t>1</w:t>
      </w:r>
      <w:r>
        <w:rPr>
          <w:sz w:val="18"/>
          <w:szCs w:val="18"/>
        </w:rPr>
        <w:t>硫酸钠中检测到的CV曲线；(B)0.5mol·L</w:t>
      </w:r>
      <w:r>
        <w:rPr>
          <w:rFonts w:eastAsia="微软雅黑"/>
          <w:sz w:val="18"/>
          <w:szCs w:val="18"/>
          <w:vertAlign w:val="superscript"/>
        </w:rPr>
        <w:t>−</w:t>
      </w:r>
      <w:r>
        <w:rPr>
          <w:sz w:val="18"/>
          <w:szCs w:val="18"/>
          <w:vertAlign w:val="superscript"/>
        </w:rPr>
        <w:t>1</w:t>
      </w:r>
      <w:r>
        <w:rPr>
          <w:sz w:val="18"/>
          <w:szCs w:val="18"/>
        </w:rPr>
        <w:t>硫酸钠中检测到的不同样品的电化学阻抗谱；(C)HS-Cu</w:t>
      </w:r>
      <w:r>
        <w:rPr>
          <w:sz w:val="18"/>
          <w:szCs w:val="18"/>
          <w:vertAlign w:val="subscript"/>
        </w:rPr>
        <w:t>9</w:t>
      </w:r>
      <w:r>
        <w:rPr>
          <w:sz w:val="18"/>
          <w:szCs w:val="18"/>
        </w:rPr>
        <w:t>S</w:t>
      </w:r>
      <w:r>
        <w:rPr>
          <w:sz w:val="18"/>
          <w:szCs w:val="18"/>
          <w:vertAlign w:val="subscript"/>
        </w:rPr>
        <w:t>5</w:t>
      </w:r>
      <w:r>
        <w:rPr>
          <w:sz w:val="18"/>
          <w:szCs w:val="18"/>
        </w:rPr>
        <w:t>纳米球在有机污染物降解中催化性能优异的机理</w:t>
      </w:r>
    </w:p>
    <w:p>
      <w:pPr>
        <w:widowControl/>
        <w:spacing w:before="156" w:beforeLines="50" w:line="360" w:lineRule="exact"/>
        <w:jc w:val="left"/>
        <w:rPr>
          <w:rFonts w:eastAsia="仿宋"/>
          <w:b/>
          <w:bCs/>
          <w:szCs w:val="21"/>
        </w:rPr>
      </w:pPr>
      <w:r>
        <w:rPr>
          <w:rFonts w:eastAsia="仿宋"/>
          <w:b/>
          <w:bCs/>
          <w:szCs w:val="21"/>
        </w:rPr>
        <w:t>4、结论</w:t>
      </w:r>
    </w:p>
    <w:p>
      <w:pPr>
        <w:spacing w:line="360" w:lineRule="exact"/>
        <w:ind w:firstLine="420" w:firstLineChars="200"/>
      </w:pPr>
      <w:r>
        <w:rPr>
          <w:rFonts w:eastAsia="仿宋"/>
          <w:szCs w:val="21"/>
        </w:rPr>
        <w:t>采用简单的阴离子交换策略将Cu</w:t>
      </w:r>
      <w:r>
        <w:rPr>
          <w:rFonts w:eastAsia="仿宋"/>
          <w:szCs w:val="21"/>
          <w:vertAlign w:val="subscript"/>
        </w:rPr>
        <w:t>2</w:t>
      </w:r>
      <w:r>
        <w:rPr>
          <w:rFonts w:eastAsia="仿宋"/>
          <w:szCs w:val="21"/>
        </w:rPr>
        <w:t>O纳米球转化为CS和YS结构的Cu</w:t>
      </w:r>
      <w:r>
        <w:rPr>
          <w:rFonts w:eastAsia="仿宋"/>
          <w:szCs w:val="21"/>
          <w:vertAlign w:val="subscript"/>
        </w:rPr>
        <w:t>2</w:t>
      </w:r>
      <w:r>
        <w:rPr>
          <w:rFonts w:eastAsia="仿宋"/>
          <w:szCs w:val="21"/>
        </w:rPr>
        <w:t>O@Cu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纳米球，最后通过增加Na</w:t>
      </w:r>
      <w:r>
        <w:rPr>
          <w:rFonts w:eastAsia="仿宋"/>
          <w:szCs w:val="21"/>
          <w:vertAlign w:val="subscript"/>
        </w:rPr>
        <w:t>2</w:t>
      </w:r>
      <w:r>
        <w:rPr>
          <w:rFonts w:eastAsia="仿宋"/>
          <w:szCs w:val="21"/>
        </w:rPr>
        <w:t>S用量转化为中空的Cu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纳米球在类Fenton反应中具有良好的催化活性，反应过程中H</w:t>
      </w:r>
      <w:r>
        <w:rPr>
          <w:rFonts w:eastAsia="仿宋"/>
          <w:szCs w:val="21"/>
          <w:vertAlign w:val="subscript"/>
        </w:rPr>
        <w:t>2</w:t>
      </w:r>
      <w:r>
        <w:rPr>
          <w:rFonts w:eastAsia="仿宋"/>
          <w:szCs w:val="21"/>
        </w:rPr>
        <w:t>O</w:t>
      </w:r>
      <w:r>
        <w:rPr>
          <w:rFonts w:eastAsia="仿宋"/>
          <w:szCs w:val="21"/>
          <w:vertAlign w:val="subscript"/>
        </w:rPr>
        <w:t>2</w:t>
      </w:r>
      <w:r>
        <w:rPr>
          <w:rFonts w:eastAsia="仿宋"/>
          <w:szCs w:val="21"/>
        </w:rPr>
        <w:t>分解产生的·OH和·O</w:t>
      </w:r>
      <w:r>
        <w:rPr>
          <w:rFonts w:eastAsia="仿宋"/>
          <w:szCs w:val="21"/>
          <w:vertAlign w:val="subscript"/>
        </w:rPr>
        <w:t>2</w:t>
      </w:r>
      <w:r>
        <w:rPr>
          <w:rFonts w:eastAsia="微软雅黑"/>
          <w:szCs w:val="21"/>
          <w:vertAlign w:val="superscript"/>
        </w:rPr>
        <w:t>−</w:t>
      </w:r>
      <w:r>
        <w:rPr>
          <w:rFonts w:eastAsia="仿宋"/>
          <w:szCs w:val="21"/>
        </w:rPr>
        <w:t>在氧化降解有机污染物中起主导作用。HS-Cu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纳米球不仅在脱色方面体现了优异活性，其反应体系的TOC在21min中急剧下降到35%~40%。HS-Cu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纳米球具有广泛的pH适用范围5.0-9.0。值得注意的是，HS-Cu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纳米球在类Fenton反应中能实现15次的催化循环，有机污染物的降解率均高于97.5%，且每次催化循环中Cu</w:t>
      </w:r>
      <w:r>
        <w:rPr>
          <w:rFonts w:eastAsia="仿宋"/>
          <w:szCs w:val="21"/>
          <w:vertAlign w:val="superscript"/>
        </w:rPr>
        <w:t>2+</w:t>
      </w:r>
      <w:r>
        <w:rPr>
          <w:rFonts w:eastAsia="仿宋"/>
          <w:szCs w:val="21"/>
        </w:rPr>
        <w:t>离子浸出率均低于1.0%，具有优异的催化稳定性。HS-Cu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纳米球由于其不同的催化位点和优越的电导率，使其在高温下具有较好的催化活性，由于其晶体的固有稳定性使得其在类Fenton反应中具有的优异稳定性。因此，本研究设计的Cu</w:t>
      </w:r>
      <w:r>
        <w:rPr>
          <w:rFonts w:eastAsia="仿宋"/>
          <w:szCs w:val="21"/>
          <w:vertAlign w:val="subscript"/>
        </w:rPr>
        <w:t>9</w:t>
      </w:r>
      <w:r>
        <w:rPr>
          <w:rFonts w:eastAsia="仿宋"/>
          <w:szCs w:val="21"/>
        </w:rPr>
        <w:t>S</w:t>
      </w:r>
      <w:r>
        <w:rPr>
          <w:rFonts w:eastAsia="仿宋"/>
          <w:szCs w:val="21"/>
          <w:vertAlign w:val="subscript"/>
        </w:rPr>
        <w:t>5</w:t>
      </w:r>
      <w:r>
        <w:rPr>
          <w:rFonts w:eastAsia="仿宋"/>
          <w:szCs w:val="21"/>
        </w:rPr>
        <w:t>催化剂在基于类Fenton反应的大规模废水处理中具有显著的潜力。</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4MGRkZGQ2ZTcwOWUzYjk3NWFiMmJhNzVlMzliMGMifQ=="/>
  </w:docVars>
  <w:rsids>
    <w:rsidRoot w:val="002E646A"/>
    <w:rsid w:val="001678EE"/>
    <w:rsid w:val="002E646A"/>
    <w:rsid w:val="003A08A6"/>
    <w:rsid w:val="004956B4"/>
    <w:rsid w:val="00504AB2"/>
    <w:rsid w:val="00627687"/>
    <w:rsid w:val="006651A4"/>
    <w:rsid w:val="00774416"/>
    <w:rsid w:val="00DA1671"/>
    <w:rsid w:val="00DB0032"/>
    <w:rsid w:val="0F571B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19"/>
    <w:qFormat/>
    <w:uiPriority w:val="0"/>
    <w:pPr>
      <w:keepNext/>
      <w:keepLines/>
      <w:spacing w:before="340" w:after="330" w:line="576" w:lineRule="auto"/>
      <w:outlineLvl w:val="0"/>
    </w:pPr>
    <w:rPr>
      <w:rFonts w:ascii="Calibri" w:hAnsi="Calibri"/>
      <w:b/>
      <w:kern w:val="44"/>
      <w:sz w:val="44"/>
      <w:szCs w:val="24"/>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w:basedOn w:val="1"/>
    <w:link w:val="20"/>
    <w:uiPriority w:val="0"/>
    <w:rPr>
      <w:rFonts w:ascii="长城仿宋" w:eastAsia="长城仿宋"/>
      <w:sz w:val="32"/>
    </w:rPr>
  </w:style>
  <w:style w:type="paragraph" w:styleId="4">
    <w:name w:val="Body Text Indent"/>
    <w:basedOn w:val="1"/>
    <w:link w:val="21"/>
    <w:uiPriority w:val="0"/>
    <w:pPr>
      <w:spacing w:line="600" w:lineRule="exact"/>
      <w:ind w:firstLine="645"/>
    </w:pPr>
    <w:rPr>
      <w:rFonts w:ascii="长城仿宋" w:eastAsia="长城仿宋"/>
      <w:spacing w:val="4"/>
      <w:sz w:val="32"/>
    </w:rPr>
  </w:style>
  <w:style w:type="paragraph" w:styleId="5">
    <w:name w:val="Plain Text"/>
    <w:basedOn w:val="1"/>
    <w:link w:val="22"/>
    <w:uiPriority w:val="0"/>
    <w:pPr>
      <w:widowControl/>
      <w:spacing w:before="100" w:beforeAutospacing="1" w:after="100" w:afterAutospacing="1"/>
      <w:jc w:val="left"/>
    </w:pPr>
    <w:rPr>
      <w:rFonts w:ascii="宋体" w:hAnsi="宋体" w:cs="宋体"/>
      <w:kern w:val="0"/>
      <w:sz w:val="24"/>
      <w:szCs w:val="24"/>
    </w:rPr>
  </w:style>
  <w:style w:type="paragraph" w:styleId="6">
    <w:name w:val="Date"/>
    <w:basedOn w:val="1"/>
    <w:next w:val="1"/>
    <w:link w:val="23"/>
    <w:uiPriority w:val="0"/>
    <w:rPr>
      <w:rFonts w:ascii="长城仿宋" w:eastAsia="长城仿宋"/>
      <w:sz w:val="32"/>
    </w:rPr>
  </w:style>
  <w:style w:type="paragraph" w:styleId="7">
    <w:name w:val="footer"/>
    <w:basedOn w:val="1"/>
    <w:link w:val="18"/>
    <w:unhideWhenUsed/>
    <w:uiPriority w:val="0"/>
    <w:pPr>
      <w:tabs>
        <w:tab w:val="center" w:pos="4153"/>
        <w:tab w:val="right" w:pos="8306"/>
      </w:tabs>
      <w:snapToGrid w:val="0"/>
      <w:jc w:val="left"/>
    </w:pPr>
    <w:rPr>
      <w:sz w:val="18"/>
      <w:szCs w:val="18"/>
    </w:rPr>
  </w:style>
  <w:style w:type="paragraph" w:styleId="8">
    <w:name w:val="header"/>
    <w:basedOn w:val="1"/>
    <w:link w:val="17"/>
    <w:unhideWhenUsed/>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table" w:styleId="11">
    <w:name w:val="Table Grid"/>
    <w:basedOn w:val="10"/>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bCs/>
    </w:rPr>
  </w:style>
  <w:style w:type="character" w:styleId="14">
    <w:name w:val="page number"/>
    <w:uiPriority w:val="0"/>
  </w:style>
  <w:style w:type="character" w:styleId="15">
    <w:name w:val="FollowedHyperlink"/>
    <w:uiPriority w:val="0"/>
    <w:rPr>
      <w:color w:val="800080"/>
      <w:u w:val="single"/>
    </w:rPr>
  </w:style>
  <w:style w:type="character" w:styleId="16">
    <w:name w:val="Hyperlink"/>
    <w:uiPriority w:val="0"/>
    <w:rPr>
      <w:color w:val="0000FF"/>
      <w:u w:val="single"/>
    </w:rPr>
  </w:style>
  <w:style w:type="character" w:customStyle="1" w:styleId="17">
    <w:name w:val="页眉 字符"/>
    <w:basedOn w:val="12"/>
    <w:link w:val="8"/>
    <w:uiPriority w:val="0"/>
    <w:rPr>
      <w:sz w:val="18"/>
      <w:szCs w:val="18"/>
    </w:rPr>
  </w:style>
  <w:style w:type="character" w:customStyle="1" w:styleId="18">
    <w:name w:val="页脚 字符"/>
    <w:basedOn w:val="12"/>
    <w:link w:val="7"/>
    <w:uiPriority w:val="0"/>
    <w:rPr>
      <w:sz w:val="18"/>
      <w:szCs w:val="18"/>
    </w:rPr>
  </w:style>
  <w:style w:type="character" w:customStyle="1" w:styleId="19">
    <w:name w:val="标题 1 字符"/>
    <w:basedOn w:val="12"/>
    <w:link w:val="2"/>
    <w:uiPriority w:val="0"/>
    <w:rPr>
      <w:rFonts w:ascii="Calibri" w:hAnsi="Calibri" w:eastAsia="宋体" w:cs="Times New Roman"/>
      <w:b/>
      <w:kern w:val="44"/>
      <w:sz w:val="44"/>
      <w:szCs w:val="24"/>
    </w:rPr>
  </w:style>
  <w:style w:type="character" w:customStyle="1" w:styleId="20">
    <w:name w:val="正文文本 字符"/>
    <w:basedOn w:val="12"/>
    <w:link w:val="3"/>
    <w:uiPriority w:val="0"/>
    <w:rPr>
      <w:rFonts w:ascii="长城仿宋" w:hAnsi="Times New Roman" w:eastAsia="长城仿宋" w:cs="Times New Roman"/>
      <w:sz w:val="32"/>
      <w:szCs w:val="20"/>
    </w:rPr>
  </w:style>
  <w:style w:type="character" w:customStyle="1" w:styleId="21">
    <w:name w:val="正文文本缩进 字符"/>
    <w:basedOn w:val="12"/>
    <w:link w:val="4"/>
    <w:uiPriority w:val="0"/>
    <w:rPr>
      <w:rFonts w:ascii="长城仿宋" w:hAnsi="Times New Roman" w:eastAsia="长城仿宋" w:cs="Times New Roman"/>
      <w:spacing w:val="4"/>
      <w:sz w:val="32"/>
      <w:szCs w:val="20"/>
    </w:rPr>
  </w:style>
  <w:style w:type="character" w:customStyle="1" w:styleId="22">
    <w:name w:val="纯文本 字符"/>
    <w:basedOn w:val="12"/>
    <w:link w:val="5"/>
    <w:uiPriority w:val="0"/>
    <w:rPr>
      <w:rFonts w:ascii="宋体" w:hAnsi="宋体" w:eastAsia="宋体" w:cs="宋体"/>
      <w:kern w:val="0"/>
      <w:sz w:val="24"/>
      <w:szCs w:val="24"/>
    </w:rPr>
  </w:style>
  <w:style w:type="character" w:customStyle="1" w:styleId="23">
    <w:name w:val="日期 字符"/>
    <w:basedOn w:val="12"/>
    <w:link w:val="6"/>
    <w:uiPriority w:val="0"/>
    <w:rPr>
      <w:rFonts w:ascii="长城仿宋" w:hAnsi="Times New Roman" w:eastAsia="长城仿宋" w:cs="Times New Roman"/>
      <w:sz w:val="32"/>
      <w:szCs w:val="20"/>
    </w:rPr>
  </w:style>
  <w:style w:type="paragraph" w:styleId="24">
    <w:name w:val="List Paragraph"/>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emf"/><Relationship Id="rId11" Type="http://schemas.openxmlformats.org/officeDocument/2006/relationships/image" Target="media/image8.tif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8917</Words>
  <Characters>12724</Characters>
  <Lines>94</Lines>
  <Paragraphs>26</Paragraphs>
  <TotalTime>44</TotalTime>
  <ScaleCrop>false</ScaleCrop>
  <LinksUpToDate>false</LinksUpToDate>
  <CharactersWithSpaces>13161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2022-03-23T03:03:00Z</dcterms:created>
  <dc:creator>DELL</dc:creator>
  <cp:lastModifiedBy>卧龙熘</cp:lastModifiedBy>
  <dcterms:modified xsi:type="dcterms:W3CDTF">2022-07-26T01:54:32Z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2155ED9AB5CA49D4BD36AB9AABC34CE5</vt:lpwstr>
  </property>
</Properties>
</file>